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r>
        <w:rPr>
          <w:rFonts w:hint="eastAsia" w:ascii="宋体" w:hAnsi="宋体"/>
          <w:b/>
          <w:sz w:val="72"/>
          <w:szCs w:val="72"/>
        </w:rPr>
        <w:t>谈判采购文件</w:t>
      </w: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line="400" w:lineRule="exact"/>
        <w:jc w:val="center"/>
        <w:rPr>
          <w:rFonts w:ascii="宋体" w:hAnsi="宋体"/>
          <w:b/>
          <w:sz w:val="32"/>
          <w:szCs w:val="32"/>
        </w:rPr>
      </w:pPr>
    </w:p>
    <w:p>
      <w:pPr>
        <w:spacing w:line="400" w:lineRule="exact"/>
        <w:ind w:right="804" w:rightChars="383" w:firstLine="643" w:firstLineChars="200"/>
        <w:rPr>
          <w:rFonts w:hint="default" w:ascii="宋体" w:hAnsi="宋体" w:eastAsia="宋体"/>
          <w:b/>
          <w:sz w:val="32"/>
          <w:szCs w:val="32"/>
          <w:lang w:val="en-US" w:eastAsia="zh-CN"/>
        </w:rPr>
      </w:pPr>
      <w:r>
        <w:rPr>
          <w:rFonts w:hint="eastAsia" w:ascii="宋体" w:hAnsi="宋体"/>
          <w:b/>
          <w:sz w:val="32"/>
          <w:szCs w:val="32"/>
        </w:rPr>
        <w:t>项目编号：</w:t>
      </w:r>
      <w:r>
        <w:rPr>
          <w:rFonts w:hint="eastAsia" w:ascii="宋体" w:hAnsi="宋体"/>
          <w:b/>
          <w:sz w:val="32"/>
          <w:szCs w:val="32"/>
          <w:lang w:val="en-US" w:eastAsia="zh-CN"/>
        </w:rPr>
        <w:t>GIEG2019YY-FWCG-0001</w:t>
      </w:r>
    </w:p>
    <w:p>
      <w:pPr>
        <w:spacing w:line="400" w:lineRule="exact"/>
        <w:ind w:right="804" w:rightChars="383"/>
        <w:jc w:val="center"/>
        <w:rPr>
          <w:rFonts w:ascii="宋体" w:hAnsi="宋体"/>
          <w:b/>
          <w:sz w:val="32"/>
          <w:szCs w:val="32"/>
        </w:rPr>
      </w:pPr>
    </w:p>
    <w:p>
      <w:pPr>
        <w:spacing w:line="400" w:lineRule="exact"/>
        <w:ind w:left="2276" w:leftChars="319" w:right="-44" w:rightChars="-21" w:hanging="1606" w:hangingChars="500"/>
        <w:rPr>
          <w:rFonts w:ascii="宋体" w:hAnsi="宋体"/>
          <w:b/>
          <w:sz w:val="32"/>
          <w:szCs w:val="32"/>
        </w:rPr>
      </w:pPr>
      <w:r>
        <w:rPr>
          <w:rFonts w:hint="eastAsia" w:ascii="宋体" w:hAnsi="宋体"/>
          <w:b/>
          <w:sz w:val="32"/>
          <w:szCs w:val="32"/>
        </w:rPr>
        <w:t>项目名称：</w:t>
      </w:r>
      <w:r>
        <w:rPr>
          <w:rFonts w:hint="eastAsia" w:ascii="宋体" w:hAnsi="宋体"/>
          <w:b/>
          <w:sz w:val="32"/>
          <w:szCs w:val="32"/>
          <w:lang w:eastAsia="zh-CN"/>
        </w:rPr>
        <w:t>南宁国际会展中心除“四害”综合治理</w:t>
      </w:r>
      <w:r>
        <w:rPr>
          <w:rFonts w:hint="eastAsia" w:ascii="宋体" w:hAnsi="宋体"/>
          <w:b/>
          <w:sz w:val="32"/>
          <w:szCs w:val="32"/>
        </w:rPr>
        <w:t>服务采购</w:t>
      </w:r>
    </w:p>
    <w:p>
      <w:pPr>
        <w:spacing w:line="400" w:lineRule="exact"/>
        <w:ind w:right="804" w:rightChars="383"/>
        <w:jc w:val="center"/>
        <w:rPr>
          <w:rFonts w:ascii="宋体" w:hAnsi="宋体"/>
          <w:b/>
          <w:sz w:val="32"/>
          <w:szCs w:val="32"/>
        </w:rPr>
      </w:pPr>
    </w:p>
    <w:p>
      <w:pPr>
        <w:spacing w:line="400" w:lineRule="exact"/>
        <w:ind w:right="804" w:rightChars="383" w:firstLine="643" w:firstLineChars="200"/>
        <w:rPr>
          <w:rFonts w:ascii="宋体" w:hAnsi="宋体"/>
          <w:b/>
          <w:sz w:val="32"/>
          <w:szCs w:val="32"/>
        </w:rPr>
      </w:pPr>
      <w:r>
        <w:rPr>
          <w:rFonts w:hint="eastAsia" w:ascii="宋体" w:hAnsi="宋体"/>
          <w:b/>
          <w:sz w:val="32"/>
          <w:szCs w:val="32"/>
        </w:rPr>
        <w:t>采购单位：广西东博会场馆运营有限公司</w:t>
      </w:r>
    </w:p>
    <w:p>
      <w:pPr>
        <w:spacing w:line="400" w:lineRule="exact"/>
        <w:ind w:right="804" w:rightChars="383"/>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2019年</w:t>
      </w:r>
      <w:r>
        <w:rPr>
          <w:rFonts w:hint="eastAsia" w:ascii="宋体" w:hAnsi="宋体"/>
          <w:b/>
          <w:sz w:val="32"/>
          <w:szCs w:val="32"/>
          <w:lang w:val="en-US" w:eastAsia="zh-CN"/>
        </w:rPr>
        <w:t>6</w:t>
      </w:r>
      <w:r>
        <w:rPr>
          <w:rFonts w:hint="eastAsia" w:ascii="宋体" w:hAnsi="宋体"/>
          <w:b/>
          <w:sz w:val="32"/>
          <w:szCs w:val="32"/>
        </w:rPr>
        <w:t>月</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sectPr>
          <w:headerReference r:id="rId4" w:type="first"/>
          <w:headerReference r:id="rId3" w:type="default"/>
          <w:footerReference r:id="rId5" w:type="default"/>
          <w:footerReference r:id="rId6" w:type="even"/>
          <w:pgSz w:w="11906" w:h="16838"/>
          <w:pgMar w:top="1440" w:right="1646" w:bottom="1440" w:left="1800" w:header="851" w:footer="992" w:gutter="0"/>
          <w:pgNumType w:start="0"/>
          <w:cols w:space="425" w:num="1"/>
          <w:titlePg/>
          <w:docGrid w:type="lines" w:linePitch="312" w:charSpace="0"/>
        </w:sect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hint="eastAsia" w:ascii="宋体" w:hAnsi="宋体"/>
          <w:b/>
          <w:sz w:val="44"/>
          <w:szCs w:val="44"/>
        </w:rPr>
        <w:t>目  录</w:t>
      </w:r>
    </w:p>
    <w:p>
      <w:pPr>
        <w:spacing w:line="400" w:lineRule="exact"/>
        <w:jc w:val="center"/>
        <w:rPr>
          <w:rFonts w:ascii="宋体" w:hAnsi="宋体"/>
          <w:b/>
          <w:sz w:val="44"/>
          <w:szCs w:val="44"/>
        </w:rPr>
      </w:pPr>
    </w:p>
    <w:p>
      <w:pPr>
        <w:pStyle w:val="41"/>
        <w:tabs>
          <w:tab w:val="left" w:pos="1230"/>
          <w:tab w:val="right" w:leader="dot" w:pos="8296"/>
        </w:tabs>
        <w:spacing w:line="360" w:lineRule="auto"/>
        <w:rPr>
          <w:rFonts w:ascii="宋体" w:hAnsi="宋体"/>
          <w:sz w:val="24"/>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"_Toc393040184" </w:instrText>
      </w:r>
      <w:r>
        <w:fldChar w:fldCharType="separate"/>
      </w:r>
      <w:r>
        <w:rPr>
          <w:rStyle w:val="54"/>
          <w:rFonts w:hint="eastAsia" w:ascii="宋体" w:hAnsi="宋体"/>
          <w:color w:val="auto"/>
          <w:sz w:val="24"/>
        </w:rPr>
        <w:t>第一章</w:t>
      </w:r>
      <w:r>
        <w:rPr>
          <w:rFonts w:ascii="宋体" w:hAnsi="宋体"/>
          <w:sz w:val="24"/>
        </w:rPr>
        <w:tab/>
      </w:r>
      <w:r>
        <w:rPr>
          <w:rStyle w:val="54"/>
          <w:rFonts w:hint="eastAsia" w:ascii="宋体" w:hAnsi="宋体"/>
          <w:color w:val="auto"/>
          <w:sz w:val="24"/>
        </w:rPr>
        <w:t>谈判采购公告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41"/>
        <w:tabs>
          <w:tab w:val="right" w:leader="dot" w:pos="8296"/>
        </w:tabs>
        <w:spacing w:line="360" w:lineRule="auto"/>
        <w:rPr>
          <w:rFonts w:ascii="宋体" w:hAnsi="宋体"/>
          <w:sz w:val="24"/>
        </w:rPr>
      </w:pPr>
      <w:r>
        <w:fldChar w:fldCharType="begin"/>
      </w:r>
      <w:r>
        <w:instrText xml:space="preserve"> HYPERLINK \l "_Toc393040185" </w:instrText>
      </w:r>
      <w:r>
        <w:fldChar w:fldCharType="separate"/>
      </w:r>
      <w:r>
        <w:rPr>
          <w:rStyle w:val="54"/>
          <w:rFonts w:hint="eastAsia" w:ascii="宋体" w:hAnsi="宋体"/>
          <w:color w:val="auto"/>
          <w:sz w:val="24"/>
        </w:rPr>
        <w:t>第二章供应商须知</w:t>
      </w:r>
      <w:r>
        <w:rPr>
          <w:rFonts w:ascii="宋体" w:hAnsi="宋体"/>
          <w:sz w:val="24"/>
        </w:rPr>
        <w:tab/>
      </w:r>
      <w:r>
        <w:rPr>
          <w:rFonts w:ascii="宋体" w:hAnsi="宋体"/>
          <w:sz w:val="24"/>
        </w:rPr>
        <w:fldChar w:fldCharType="begin"/>
      </w:r>
      <w:r>
        <w:rPr>
          <w:rFonts w:ascii="宋体" w:hAnsi="宋体"/>
          <w:sz w:val="24"/>
        </w:rPr>
        <w:instrText xml:space="preserve"> PAGEREF _Toc393040185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41"/>
        <w:tabs>
          <w:tab w:val="right" w:leader="dot" w:pos="8296"/>
        </w:tabs>
        <w:spacing w:line="360" w:lineRule="auto"/>
        <w:rPr>
          <w:rFonts w:ascii="宋体" w:hAnsi="宋体"/>
          <w:sz w:val="24"/>
        </w:rPr>
      </w:pPr>
      <w:r>
        <w:fldChar w:fldCharType="begin"/>
      </w:r>
      <w:r>
        <w:instrText xml:space="preserve"> HYPERLINK \l "_Toc393040186" </w:instrText>
      </w:r>
      <w:r>
        <w:fldChar w:fldCharType="separate"/>
      </w:r>
      <w:r>
        <w:rPr>
          <w:rStyle w:val="54"/>
          <w:rFonts w:hint="eastAsia" w:ascii="宋体" w:hAnsi="宋体"/>
          <w:color w:val="auto"/>
          <w:sz w:val="24"/>
        </w:rPr>
        <w:t>第三章项目需求</w:t>
      </w:r>
      <w:r>
        <w:rPr>
          <w:rFonts w:ascii="宋体" w:hAnsi="宋体"/>
          <w:sz w:val="24"/>
        </w:rPr>
        <w:tab/>
      </w:r>
      <w:r>
        <w:rPr>
          <w:rFonts w:ascii="宋体" w:hAnsi="宋体"/>
          <w:sz w:val="24"/>
        </w:rPr>
        <w:fldChar w:fldCharType="begin"/>
      </w:r>
      <w:r>
        <w:rPr>
          <w:rFonts w:ascii="宋体" w:hAnsi="宋体"/>
          <w:sz w:val="24"/>
        </w:rPr>
        <w:instrText xml:space="preserve"> PAGEREF _Toc393040186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pStyle w:val="41"/>
        <w:tabs>
          <w:tab w:val="right" w:leader="dot" w:pos="8296"/>
        </w:tabs>
        <w:spacing w:line="360" w:lineRule="auto"/>
        <w:rPr>
          <w:rFonts w:ascii="宋体" w:hAnsi="宋体"/>
          <w:sz w:val="24"/>
        </w:rPr>
      </w:pPr>
      <w:r>
        <w:fldChar w:fldCharType="begin"/>
      </w:r>
      <w:r>
        <w:instrText xml:space="preserve"> HYPERLINK \l "_Toc393040187" </w:instrText>
      </w:r>
      <w:r>
        <w:fldChar w:fldCharType="separate"/>
      </w:r>
      <w:r>
        <w:rPr>
          <w:rStyle w:val="54"/>
          <w:rFonts w:hint="eastAsia" w:ascii="宋体" w:hAnsi="宋体"/>
          <w:color w:val="auto"/>
          <w:sz w:val="24"/>
        </w:rPr>
        <w:t>第四章评审方法</w:t>
      </w:r>
      <w:r>
        <w:rPr>
          <w:rFonts w:ascii="宋体" w:hAnsi="宋体"/>
          <w:sz w:val="24"/>
        </w:rPr>
        <w:tab/>
      </w:r>
      <w:r>
        <w:rPr>
          <w:rFonts w:ascii="宋体" w:hAnsi="宋体"/>
          <w:sz w:val="24"/>
        </w:rPr>
        <w:fldChar w:fldCharType="begin"/>
      </w:r>
      <w:r>
        <w:rPr>
          <w:rFonts w:ascii="宋体" w:hAnsi="宋体"/>
          <w:sz w:val="24"/>
        </w:rPr>
        <w:instrText xml:space="preserve"> PAGEREF _Toc393040187 \h </w:instrText>
      </w:r>
      <w:r>
        <w:rPr>
          <w:rFonts w:ascii="宋体" w:hAnsi="宋体"/>
          <w:sz w:val="24"/>
        </w:rPr>
        <w:fldChar w:fldCharType="separate"/>
      </w:r>
      <w:r>
        <w:rPr>
          <w:rFonts w:ascii="宋体" w:hAnsi="宋体"/>
          <w:sz w:val="24"/>
        </w:rPr>
        <w:t>16</w:t>
      </w:r>
      <w:r>
        <w:rPr>
          <w:rFonts w:ascii="宋体" w:hAnsi="宋体"/>
          <w:sz w:val="24"/>
        </w:rPr>
        <w:fldChar w:fldCharType="end"/>
      </w:r>
      <w:r>
        <w:rPr>
          <w:rFonts w:ascii="宋体" w:hAnsi="宋体"/>
          <w:sz w:val="24"/>
        </w:rPr>
        <w:fldChar w:fldCharType="end"/>
      </w:r>
    </w:p>
    <w:p>
      <w:pPr>
        <w:pStyle w:val="41"/>
        <w:tabs>
          <w:tab w:val="right" w:leader="dot" w:pos="8296"/>
        </w:tabs>
        <w:spacing w:line="360" w:lineRule="auto"/>
        <w:rPr>
          <w:rFonts w:ascii="宋体" w:hAnsi="宋体"/>
          <w:sz w:val="24"/>
        </w:rPr>
      </w:pPr>
      <w:r>
        <w:fldChar w:fldCharType="begin"/>
      </w:r>
      <w:r>
        <w:instrText xml:space="preserve"> HYPERLINK \l "_Toc393040191" </w:instrText>
      </w:r>
      <w:r>
        <w:fldChar w:fldCharType="separate"/>
      </w:r>
      <w:r>
        <w:rPr>
          <w:rStyle w:val="54"/>
          <w:rFonts w:hint="eastAsia" w:ascii="宋体" w:hAnsi="宋体"/>
          <w:color w:val="auto"/>
          <w:sz w:val="24"/>
        </w:rPr>
        <w:t>第五章响应文件格式</w:t>
      </w:r>
      <w:r>
        <w:rPr>
          <w:rFonts w:ascii="宋体" w:hAnsi="宋体"/>
          <w:sz w:val="24"/>
        </w:rPr>
        <w:tab/>
      </w:r>
      <w:r>
        <w:rPr>
          <w:rFonts w:ascii="宋体" w:hAnsi="宋体"/>
          <w:sz w:val="24"/>
        </w:rPr>
        <w:fldChar w:fldCharType="begin"/>
      </w:r>
      <w:r>
        <w:rPr>
          <w:rFonts w:ascii="宋体" w:hAnsi="宋体"/>
          <w:sz w:val="24"/>
        </w:rPr>
        <w:instrText xml:space="preserve"> PAGEREF _Toc393040191 \h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41"/>
        <w:tabs>
          <w:tab w:val="left" w:pos="1470"/>
          <w:tab w:val="right" w:leader="dot" w:pos="8296"/>
        </w:tabs>
        <w:spacing w:line="360" w:lineRule="auto"/>
        <w:outlineLvl w:val="0"/>
        <w:rPr>
          <w:rFonts w:hint="default" w:ascii="宋体" w:hAnsi="宋体" w:eastAsia="宋体"/>
          <w:sz w:val="24"/>
          <w:lang w:val="en-US" w:eastAsia="zh-CN"/>
        </w:rPr>
      </w:pPr>
      <w:bookmarkStart w:id="0" w:name="_Toc69"/>
      <w:r>
        <w:fldChar w:fldCharType="begin"/>
      </w:r>
      <w:r>
        <w:instrText xml:space="preserve"> HYPERLINK \l "_Toc393040203" </w:instrText>
      </w:r>
      <w:r>
        <w:fldChar w:fldCharType="separate"/>
      </w:r>
      <w:r>
        <w:rPr>
          <w:rStyle w:val="54"/>
          <w:rFonts w:hint="eastAsia" w:ascii="宋体" w:hAnsi="宋体"/>
          <w:color w:val="auto"/>
          <w:sz w:val="24"/>
        </w:rPr>
        <w:t>第六章合同主要条款</w:t>
      </w:r>
      <w:r>
        <w:rPr>
          <w:rFonts w:ascii="宋体" w:hAnsi="宋体"/>
          <w:sz w:val="24"/>
        </w:rPr>
        <w:tab/>
      </w:r>
      <w:r>
        <w:rPr>
          <w:rFonts w:ascii="宋体" w:hAnsi="宋体"/>
          <w:sz w:val="24"/>
        </w:rPr>
        <w:fldChar w:fldCharType="end"/>
      </w:r>
      <w:r>
        <w:rPr>
          <w:rFonts w:hint="eastAsia" w:ascii="宋体" w:hAnsi="宋体"/>
          <w:sz w:val="24"/>
          <w:lang w:val="en-US" w:eastAsia="zh-CN"/>
        </w:rPr>
        <w:t>25</w:t>
      </w:r>
      <w:bookmarkEnd w:id="0"/>
    </w:p>
    <w:p>
      <w:pPr>
        <w:spacing w:line="400" w:lineRule="exact"/>
        <w:jc w:val="center"/>
        <w:rPr>
          <w:rFonts w:ascii="宋体" w:hAnsi="宋体"/>
          <w:b/>
          <w:sz w:val="32"/>
          <w:szCs w:val="32"/>
        </w:rPr>
      </w:pPr>
      <w:r>
        <w:rPr>
          <w:rFonts w:ascii="宋体" w:hAnsi="宋体"/>
          <w:b/>
          <w:sz w:val="24"/>
        </w:rPr>
        <w:fldChar w:fldCharType="end"/>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br w:type="page"/>
      </w:r>
    </w:p>
    <w:p>
      <w:pPr>
        <w:pStyle w:val="3"/>
        <w:numPr>
          <w:ilvl w:val="0"/>
          <w:numId w:val="7"/>
        </w:numPr>
        <w:jc w:val="center"/>
      </w:pPr>
      <w:bookmarkStart w:id="1" w:name="_Toc15945"/>
      <w:bookmarkStart w:id="2" w:name="_Toc24662_WPSOffice_Level1"/>
      <w:bookmarkStart w:id="3" w:name="_Toc393040184"/>
      <w:r>
        <w:rPr>
          <w:rFonts w:hint="eastAsia"/>
        </w:rPr>
        <w:t>谈判采购公告</w:t>
      </w:r>
      <w:bookmarkEnd w:id="1"/>
      <w:bookmarkEnd w:id="2"/>
      <w:bookmarkEnd w:id="3"/>
    </w:p>
    <w:p>
      <w:pPr>
        <w:spacing w:line="400" w:lineRule="exact"/>
        <w:ind w:firstLine="420" w:firstLineChars="200"/>
        <w:rPr>
          <w:rFonts w:ascii="宋体" w:hAnsi="宋体"/>
          <w:szCs w:val="21"/>
        </w:rPr>
      </w:pPr>
      <w:r>
        <w:rPr>
          <w:rFonts w:hint="eastAsia" w:ascii="宋体" w:hAnsi="宋体"/>
          <w:szCs w:val="21"/>
        </w:rPr>
        <w:t>广西东博会场馆运营有限公司</w:t>
      </w:r>
      <w:r>
        <w:rPr>
          <w:rFonts w:hint="eastAsia" w:ascii="宋体" w:hAnsi="宋体"/>
          <w:szCs w:val="21"/>
          <w:lang w:eastAsia="zh-CN"/>
        </w:rPr>
        <w:t>除“四害”综合治理</w:t>
      </w:r>
      <w:r>
        <w:rPr>
          <w:rFonts w:hint="eastAsia" w:ascii="宋体" w:hAnsi="宋体"/>
          <w:szCs w:val="21"/>
        </w:rPr>
        <w:t>服务采购项目采用谈判方式进行采购，现将有关事项公告如下：</w:t>
      </w:r>
    </w:p>
    <w:p>
      <w:pPr>
        <w:spacing w:line="400" w:lineRule="exact"/>
        <w:ind w:firstLine="411" w:firstLineChars="196"/>
        <w:rPr>
          <w:rFonts w:ascii="宋体" w:hAnsi="宋体"/>
          <w:szCs w:val="21"/>
          <w:u w:val="single"/>
        </w:rPr>
      </w:pPr>
      <w:r>
        <w:rPr>
          <w:rFonts w:hint="eastAsia" w:ascii="宋体" w:hAnsi="宋体"/>
          <w:b w:val="0"/>
          <w:bCs/>
          <w:szCs w:val="21"/>
        </w:rPr>
        <w:t>一</w:t>
      </w:r>
      <w:r>
        <w:rPr>
          <w:rFonts w:hint="eastAsia" w:ascii="宋体" w:hAnsi="宋体"/>
          <w:b/>
          <w:szCs w:val="21"/>
        </w:rPr>
        <w:t>、项目名称</w:t>
      </w:r>
      <w:r>
        <w:rPr>
          <w:rFonts w:hint="eastAsia" w:ascii="宋体" w:hAnsi="宋体"/>
          <w:szCs w:val="21"/>
        </w:rPr>
        <w:t>：</w:t>
      </w:r>
      <w:r>
        <w:rPr>
          <w:rFonts w:hint="eastAsia" w:ascii="宋体" w:hAnsi="宋体"/>
          <w:szCs w:val="21"/>
          <w:lang w:eastAsia="zh-CN"/>
        </w:rPr>
        <w:t>南宁国际会展中心除“四害”综合治理</w:t>
      </w:r>
      <w:r>
        <w:rPr>
          <w:rFonts w:hint="eastAsia" w:ascii="宋体" w:hAnsi="宋体"/>
          <w:szCs w:val="21"/>
        </w:rPr>
        <w:t>服务采购</w:t>
      </w:r>
    </w:p>
    <w:p>
      <w:pPr>
        <w:spacing w:line="400" w:lineRule="exact"/>
        <w:ind w:firstLine="843" w:firstLineChars="400"/>
        <w:rPr>
          <w:rFonts w:hint="default" w:ascii="宋体" w:hAnsi="宋体" w:eastAsia="宋体"/>
          <w:szCs w:val="21"/>
          <w:u w:val="single"/>
          <w:lang w:val="en-US" w:eastAsia="zh-CN"/>
        </w:rPr>
      </w:pPr>
      <w:r>
        <w:rPr>
          <w:rFonts w:hint="eastAsia" w:ascii="宋体" w:hAnsi="宋体"/>
          <w:b/>
          <w:szCs w:val="21"/>
        </w:rPr>
        <w:t>项目编号</w:t>
      </w:r>
      <w:r>
        <w:rPr>
          <w:rFonts w:hint="eastAsia" w:ascii="宋体" w:hAnsi="宋体"/>
          <w:szCs w:val="21"/>
        </w:rPr>
        <w:t>：</w:t>
      </w:r>
      <w:r>
        <w:rPr>
          <w:rFonts w:hint="eastAsia" w:ascii="宋体" w:hAnsi="宋体"/>
          <w:szCs w:val="21"/>
          <w:lang w:val="en-US" w:eastAsia="zh-CN"/>
        </w:rPr>
        <w:t xml:space="preserve">            </w:t>
      </w:r>
    </w:p>
    <w:p>
      <w:pPr>
        <w:numPr>
          <w:ilvl w:val="0"/>
          <w:numId w:val="0"/>
        </w:numPr>
        <w:tabs>
          <w:tab w:val="left" w:pos="815"/>
        </w:tabs>
        <w:snapToGrid w:val="0"/>
        <w:spacing w:line="360" w:lineRule="exact"/>
        <w:ind w:firstLine="422" w:firstLineChars="200"/>
        <w:rPr>
          <w:rFonts w:hint="eastAsia" w:ascii="宋体" w:hAnsi="宋体" w:cs="Arial"/>
          <w:szCs w:val="21"/>
        </w:rPr>
      </w:pPr>
      <w:r>
        <w:rPr>
          <w:rFonts w:hint="eastAsia" w:ascii="宋体" w:hAnsi="宋体" w:cs="Arial"/>
          <w:b/>
          <w:szCs w:val="21"/>
          <w:lang w:eastAsia="zh-CN"/>
        </w:rPr>
        <w:t>二、</w:t>
      </w:r>
      <w:r>
        <w:rPr>
          <w:rFonts w:hint="eastAsia" w:ascii="宋体" w:hAnsi="宋体" w:cs="Arial"/>
          <w:b/>
          <w:szCs w:val="21"/>
        </w:rPr>
        <w:t>采购组织类型：</w:t>
      </w:r>
      <w:r>
        <w:rPr>
          <w:rFonts w:hint="eastAsia" w:ascii="宋体" w:hAnsi="宋体" w:cs="Arial"/>
          <w:szCs w:val="21"/>
        </w:rPr>
        <w:t>非政府采购项目</w:t>
      </w:r>
    </w:p>
    <w:p>
      <w:pPr>
        <w:numPr>
          <w:ilvl w:val="0"/>
          <w:numId w:val="0"/>
        </w:numPr>
        <w:snapToGrid w:val="0"/>
        <w:spacing w:line="360" w:lineRule="exact"/>
        <w:ind w:firstLine="422" w:firstLineChars="200"/>
        <w:rPr>
          <w:rFonts w:hint="eastAsia" w:ascii="宋体" w:hAnsi="宋体" w:eastAsia="宋体"/>
          <w:szCs w:val="21"/>
          <w:lang w:val="en-US" w:eastAsia="zh-CN"/>
        </w:rPr>
      </w:pPr>
      <w:r>
        <w:rPr>
          <w:rFonts w:hint="eastAsia" w:ascii="宋体" w:hAnsi="宋体"/>
          <w:b/>
          <w:bCs w:val="0"/>
          <w:szCs w:val="21"/>
          <w:lang w:eastAsia="zh-CN"/>
        </w:rPr>
        <w:t>三、</w:t>
      </w:r>
      <w:r>
        <w:rPr>
          <w:rFonts w:hint="eastAsia" w:ascii="宋体" w:hAnsi="宋体"/>
          <w:b/>
          <w:szCs w:val="21"/>
        </w:rPr>
        <w:t>采购内容</w:t>
      </w:r>
      <w:r>
        <w:rPr>
          <w:rFonts w:hint="eastAsia" w:ascii="宋体" w:hAnsi="宋体"/>
          <w:szCs w:val="21"/>
        </w:rPr>
        <w:t>：广西东博会场馆运营有限公司</w:t>
      </w:r>
      <w:r>
        <w:rPr>
          <w:rFonts w:hint="eastAsia" w:ascii="宋体" w:hAnsi="宋体"/>
          <w:szCs w:val="21"/>
          <w:lang w:eastAsia="zh-CN"/>
        </w:rPr>
        <w:t>除“四害”综合治理服务采购项目A区、B区、C区、D区、E区5个区主建筑，会展中心红线范围内的外围区域，</w:t>
      </w:r>
      <w:r>
        <w:rPr>
          <w:rFonts w:hint="eastAsia" w:ascii="宋体" w:hAnsi="宋体"/>
          <w:szCs w:val="21"/>
        </w:rPr>
        <w:t>项目预算（人民币）：8万元整</w:t>
      </w:r>
      <w:r>
        <w:rPr>
          <w:rFonts w:hint="eastAsia" w:ascii="宋体" w:hAnsi="宋体"/>
          <w:szCs w:val="21"/>
          <w:lang w:eastAsia="zh-CN"/>
        </w:rPr>
        <w:t>。</w:t>
      </w:r>
    </w:p>
    <w:p>
      <w:pPr>
        <w:snapToGrid w:val="0"/>
        <w:spacing w:line="360" w:lineRule="exact"/>
        <w:ind w:firstLine="422" w:firstLineChars="200"/>
        <w:rPr>
          <w:rFonts w:ascii="宋体" w:hAnsi="宋体"/>
          <w:szCs w:val="21"/>
        </w:rPr>
      </w:pPr>
      <w:r>
        <w:rPr>
          <w:rFonts w:hint="eastAsia" w:ascii="宋体" w:hAnsi="宋体"/>
          <w:b/>
          <w:bCs w:val="0"/>
          <w:szCs w:val="21"/>
        </w:rPr>
        <w:t>四</w:t>
      </w:r>
      <w:r>
        <w:rPr>
          <w:rFonts w:hint="eastAsia" w:ascii="宋体" w:hAnsi="宋体"/>
          <w:b/>
          <w:szCs w:val="21"/>
        </w:rPr>
        <w:t>、供应商资格</w:t>
      </w:r>
      <w:r>
        <w:rPr>
          <w:rFonts w:hint="eastAsia" w:ascii="宋体" w:hAnsi="宋体"/>
          <w:szCs w:val="21"/>
        </w:rPr>
        <w:t>：</w:t>
      </w:r>
    </w:p>
    <w:p>
      <w:pPr>
        <w:spacing w:line="400" w:lineRule="exact"/>
        <w:ind w:firstLine="525" w:firstLineChars="250"/>
        <w:rPr>
          <w:rFonts w:ascii="宋体" w:hAnsi="宋体" w:cs="Arial"/>
          <w:szCs w:val="21"/>
        </w:rPr>
      </w:pPr>
      <w:r>
        <w:rPr>
          <w:rFonts w:hint="eastAsia" w:ascii="宋体" w:hAnsi="宋体" w:cs="Arial"/>
          <w:szCs w:val="21"/>
        </w:rPr>
        <w:t>1</w:t>
      </w:r>
      <w:r>
        <w:rPr>
          <w:rFonts w:hint="eastAsia" w:ascii="宋体" w:hAnsi="宋体" w:cs="Arial"/>
          <w:szCs w:val="21"/>
          <w:lang w:val="en-US" w:eastAsia="zh-CN"/>
        </w:rPr>
        <w:t>.</w:t>
      </w:r>
      <w:r>
        <w:rPr>
          <w:rFonts w:hint="eastAsia" w:ascii="宋体" w:hAnsi="宋体" w:cs="Arial"/>
          <w:szCs w:val="21"/>
        </w:rPr>
        <w:t>国内注册（指按国家有关规定要求注册的），经营范围包含本次招标采购服务，具备法人资格的供应商；</w:t>
      </w:r>
    </w:p>
    <w:p>
      <w:pPr>
        <w:spacing w:line="400" w:lineRule="exact"/>
        <w:ind w:firstLine="525" w:firstLineChars="250"/>
        <w:rPr>
          <w:rFonts w:ascii="宋体" w:hAnsi="宋体" w:cs="Arial"/>
          <w:szCs w:val="21"/>
        </w:rPr>
      </w:pPr>
      <w:r>
        <w:rPr>
          <w:rFonts w:hint="eastAsia" w:ascii="宋体" w:hAnsi="宋体" w:cs="Arial"/>
          <w:szCs w:val="21"/>
          <w:lang w:val="en-US" w:eastAsia="zh-CN"/>
        </w:rPr>
        <w:t>2.</w:t>
      </w:r>
      <w:r>
        <w:rPr>
          <w:rFonts w:hint="eastAsia" w:ascii="宋体" w:hAnsi="宋体" w:cs="Arial"/>
          <w:szCs w:val="21"/>
        </w:rPr>
        <w:t>本项目不接受联合体竞标。</w:t>
      </w:r>
    </w:p>
    <w:p>
      <w:pPr>
        <w:spacing w:line="400" w:lineRule="exact"/>
        <w:ind w:firstLine="495"/>
        <w:rPr>
          <w:rFonts w:hint="eastAsia" w:ascii="宋体" w:hAnsi="宋体" w:eastAsia="宋体"/>
          <w:szCs w:val="21"/>
          <w:lang w:val="en-US" w:eastAsia="zh-CN"/>
        </w:rPr>
      </w:pPr>
      <w:r>
        <w:rPr>
          <w:rFonts w:hint="eastAsia" w:ascii="宋体" w:hAnsi="宋体"/>
          <w:b/>
          <w:szCs w:val="21"/>
          <w:lang w:val="en-US" w:eastAsia="zh-CN"/>
        </w:rPr>
        <w:t>五</w:t>
      </w:r>
      <w:r>
        <w:rPr>
          <w:rFonts w:hint="eastAsia" w:ascii="宋体" w:hAnsi="宋体"/>
          <w:b/>
          <w:szCs w:val="21"/>
        </w:rPr>
        <w:t>、竞标保证金</w:t>
      </w:r>
      <w:r>
        <w:rPr>
          <w:rFonts w:hint="eastAsia" w:ascii="宋体" w:hAnsi="宋体"/>
          <w:szCs w:val="21"/>
        </w:rPr>
        <w:t>：</w:t>
      </w:r>
      <w:r>
        <w:rPr>
          <w:rFonts w:hint="eastAsia" w:ascii="宋体" w:hAnsi="宋体"/>
          <w:szCs w:val="21"/>
          <w:lang w:eastAsia="zh-CN"/>
        </w:rPr>
        <w:t>无</w:t>
      </w:r>
    </w:p>
    <w:p>
      <w:pPr>
        <w:spacing w:line="400" w:lineRule="exact"/>
        <w:ind w:firstLine="495"/>
        <w:rPr>
          <w:rFonts w:ascii="宋体" w:hAnsi="宋体"/>
          <w:szCs w:val="21"/>
        </w:rPr>
      </w:pPr>
      <w:r>
        <w:rPr>
          <w:rFonts w:hint="eastAsia" w:ascii="宋体" w:hAnsi="宋体"/>
          <w:b/>
          <w:szCs w:val="21"/>
          <w:lang w:val="en-US" w:eastAsia="zh-CN"/>
        </w:rPr>
        <w:t>六</w:t>
      </w:r>
      <w:r>
        <w:rPr>
          <w:rFonts w:hint="eastAsia" w:ascii="宋体" w:hAnsi="宋体"/>
          <w:b/>
          <w:szCs w:val="21"/>
        </w:rPr>
        <w:t>、响应文件递交时间和地点</w:t>
      </w:r>
      <w:r>
        <w:rPr>
          <w:rFonts w:hint="eastAsia" w:ascii="宋体" w:hAnsi="宋体"/>
          <w:szCs w:val="21"/>
        </w:rPr>
        <w:t>：</w:t>
      </w:r>
    </w:p>
    <w:p>
      <w:pPr>
        <w:spacing w:line="400" w:lineRule="exact"/>
        <w:ind w:firstLine="495"/>
        <w:rPr>
          <w:rFonts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响应文件接收时间：2019年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2019年6月17日</w:t>
      </w:r>
      <w:r>
        <w:rPr>
          <w:rFonts w:hint="eastAsia" w:ascii="宋体" w:hAnsi="宋体"/>
          <w:szCs w:val="21"/>
        </w:rPr>
        <w:t>止。</w:t>
      </w:r>
    </w:p>
    <w:p>
      <w:pPr>
        <w:spacing w:line="400" w:lineRule="exact"/>
        <w:ind w:firstLine="495"/>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响应文件递交地点：广西东博会场馆运营有限公司（</w:t>
      </w:r>
      <w:r>
        <w:rPr>
          <w:rFonts w:hint="eastAsia" w:ascii="宋体" w:hAnsi="宋体" w:cs="宋体"/>
          <w:color w:val="000000"/>
          <w:szCs w:val="21"/>
          <w:u w:val="single"/>
        </w:rPr>
        <w:t>南宁市会展路18号会展大厦12楼</w:t>
      </w:r>
      <w:r>
        <w:rPr>
          <w:rFonts w:hint="eastAsia" w:ascii="宋体" w:hAnsi="宋体"/>
          <w:szCs w:val="21"/>
        </w:rPr>
        <w:t>）。</w:t>
      </w:r>
    </w:p>
    <w:p>
      <w:pPr>
        <w:spacing w:line="400" w:lineRule="exact"/>
        <w:ind w:firstLine="495"/>
        <w:rPr>
          <w:rFonts w:ascii="宋体" w:hAnsi="宋体"/>
          <w:szCs w:val="21"/>
        </w:rPr>
      </w:pPr>
      <w:r>
        <w:rPr>
          <w:rFonts w:hint="eastAsia" w:ascii="宋体" w:hAnsi="宋体"/>
          <w:b/>
          <w:szCs w:val="21"/>
          <w:lang w:val="en-US" w:eastAsia="zh-CN"/>
        </w:rPr>
        <w:t>七</w:t>
      </w:r>
      <w:r>
        <w:rPr>
          <w:rFonts w:hint="eastAsia" w:ascii="宋体" w:hAnsi="宋体"/>
          <w:b/>
          <w:szCs w:val="21"/>
        </w:rPr>
        <w:t>、响应文件开启时间、谈判时间及地点</w:t>
      </w:r>
      <w:r>
        <w:rPr>
          <w:rFonts w:hint="eastAsia" w:ascii="宋体" w:hAnsi="宋体"/>
          <w:szCs w:val="21"/>
        </w:rPr>
        <w:t>：</w:t>
      </w:r>
    </w:p>
    <w:p>
      <w:pPr>
        <w:spacing w:line="400" w:lineRule="exact"/>
        <w:ind w:firstLine="495"/>
        <w:rPr>
          <w:rFonts w:ascii="宋体" w:hAnsi="宋体"/>
          <w:szCs w:val="21"/>
        </w:rPr>
      </w:pPr>
      <w:r>
        <w:rPr>
          <w:rFonts w:hint="eastAsia" w:ascii="宋体" w:hAnsi="宋体"/>
          <w:szCs w:val="21"/>
        </w:rPr>
        <w:t>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日为开启响应文件及与供应商谈判时间，具体时间</w:t>
      </w:r>
      <w:r>
        <w:rPr>
          <w:rFonts w:hint="eastAsia" w:ascii="宋体" w:hAnsi="宋体"/>
          <w:szCs w:val="21"/>
          <w:lang w:eastAsia="zh-CN"/>
        </w:rPr>
        <w:t>由采购人</w:t>
      </w:r>
      <w:r>
        <w:rPr>
          <w:rFonts w:hint="eastAsia" w:ascii="宋体" w:hAnsi="宋体"/>
          <w:szCs w:val="21"/>
        </w:rPr>
        <w:t>另行通知。地点：广西东博会场馆运营有限公司（</w:t>
      </w:r>
      <w:r>
        <w:rPr>
          <w:rFonts w:hint="eastAsia" w:ascii="宋体" w:hAnsi="宋体" w:cs="宋体"/>
          <w:color w:val="000000"/>
          <w:szCs w:val="21"/>
          <w:u w:val="single"/>
        </w:rPr>
        <w:t>南宁市会展路18号会展大厦12楼</w:t>
      </w:r>
      <w:r>
        <w:rPr>
          <w:rFonts w:hint="eastAsia" w:ascii="宋体" w:hAnsi="宋体"/>
          <w:szCs w:val="21"/>
        </w:rPr>
        <w:t>），参加</w:t>
      </w:r>
      <w:r>
        <w:rPr>
          <w:rFonts w:hint="eastAsia" w:ascii="宋体" w:hAnsi="宋体"/>
          <w:szCs w:val="21"/>
          <w:lang w:eastAsia="zh-CN"/>
        </w:rPr>
        <w:t>竞争性谈判</w:t>
      </w:r>
      <w:r>
        <w:rPr>
          <w:rFonts w:hint="eastAsia" w:ascii="宋体" w:hAnsi="宋体"/>
          <w:szCs w:val="21"/>
        </w:rPr>
        <w:t>的法定代表人或委托代理人必须持证件（法定代表人凭资格证书和身份证或委托代理人凭法人授权委托书原件和身份证）依时到达指定地点等候当面谈判。</w:t>
      </w:r>
    </w:p>
    <w:p>
      <w:pPr>
        <w:snapToGrid w:val="0"/>
        <w:spacing w:line="360" w:lineRule="exact"/>
        <w:ind w:firstLine="422" w:firstLineChars="200"/>
        <w:rPr>
          <w:rFonts w:ascii="宋体" w:hAnsi="宋体" w:cs="Arial"/>
          <w:b/>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cs="Arial"/>
          <w:b/>
          <w:szCs w:val="21"/>
        </w:rPr>
        <w:t>业务咨询：</w:t>
      </w:r>
    </w:p>
    <w:p>
      <w:pPr>
        <w:snapToGrid w:val="0"/>
        <w:spacing w:line="360" w:lineRule="exact"/>
        <w:ind w:firstLine="420" w:firstLineChars="200"/>
        <w:rPr>
          <w:rFonts w:ascii="宋体" w:hAnsi="宋体" w:cs="Arial"/>
          <w:szCs w:val="21"/>
        </w:rPr>
      </w:pPr>
      <w:bookmarkStart w:id="4" w:name="_Toc29166_WPSOffice_Level2"/>
      <w:r>
        <w:rPr>
          <w:rFonts w:hint="eastAsia" w:ascii="宋体" w:hAnsi="宋体" w:cs="Arial"/>
          <w:szCs w:val="21"/>
        </w:rPr>
        <w:t>1</w:t>
      </w:r>
      <w:r>
        <w:rPr>
          <w:rFonts w:hint="eastAsia" w:ascii="宋体" w:hAnsi="宋体" w:cs="Arial"/>
          <w:szCs w:val="21"/>
          <w:lang w:val="en-US" w:eastAsia="zh-CN"/>
        </w:rPr>
        <w:t>.</w:t>
      </w:r>
      <w:r>
        <w:rPr>
          <w:rFonts w:hint="eastAsia" w:ascii="宋体" w:hAnsi="宋体" w:cs="Arial"/>
          <w:szCs w:val="21"/>
        </w:rPr>
        <w:t>广西东博会场馆运营有限公司</w:t>
      </w:r>
      <w:bookmarkEnd w:id="4"/>
    </w:p>
    <w:p>
      <w:pPr>
        <w:snapToGrid w:val="0"/>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联系人：</w:t>
      </w:r>
      <w:r>
        <w:rPr>
          <w:rFonts w:hint="eastAsia" w:ascii="宋体" w:hAnsi="宋体" w:cs="Arial"/>
          <w:szCs w:val="21"/>
          <w:lang w:val="en-US" w:eastAsia="zh-CN"/>
        </w:rPr>
        <w:t xml:space="preserve">黄丽   </w:t>
      </w:r>
      <w:r>
        <w:rPr>
          <w:rFonts w:hint="eastAsia" w:ascii="宋体" w:hAnsi="宋体"/>
          <w:shd w:val="clear" w:color="auto" w:fill="FFFFFF"/>
        </w:rPr>
        <w:t xml:space="preserve"> 联系电话：</w:t>
      </w:r>
      <w:r>
        <w:rPr>
          <w:rFonts w:hint="eastAsia" w:ascii="宋体" w:hAnsi="宋体"/>
          <w:shd w:val="clear" w:color="auto" w:fill="FFFFFF"/>
          <w:lang w:val="en-US" w:eastAsia="zh-CN"/>
        </w:rPr>
        <w:t xml:space="preserve">15977921819  </w:t>
      </w:r>
    </w:p>
    <w:p>
      <w:pPr>
        <w:snapToGrid w:val="0"/>
        <w:spacing w:line="360" w:lineRule="exact"/>
        <w:ind w:firstLine="420" w:firstLineChars="200"/>
        <w:rPr>
          <w:rFonts w:ascii="宋体" w:hAnsi="宋体" w:cs="Arial"/>
          <w:szCs w:val="21"/>
        </w:rPr>
      </w:pPr>
      <w:r>
        <w:rPr>
          <w:rFonts w:hint="eastAsia" w:ascii="宋体" w:hAnsi="宋体" w:cs="Arial"/>
          <w:szCs w:val="21"/>
        </w:rPr>
        <w:t>地址：</w:t>
      </w:r>
      <w:r>
        <w:rPr>
          <w:rFonts w:hint="eastAsia" w:ascii="宋体" w:hAnsi="宋体" w:cs="宋体"/>
          <w:color w:val="000000"/>
          <w:szCs w:val="21"/>
          <w:u w:val="single"/>
        </w:rPr>
        <w:t>南宁市会展路18号会展大厦12楼</w:t>
      </w:r>
      <w:r>
        <w:rPr>
          <w:rFonts w:hint="eastAsia" w:ascii="宋体" w:hAnsi="宋体" w:cs="Arial"/>
          <w:szCs w:val="21"/>
        </w:rPr>
        <w:t>/邮编：530000</w:t>
      </w:r>
    </w:p>
    <w:p>
      <w:pPr>
        <w:snapToGrid w:val="0"/>
        <w:spacing w:line="360" w:lineRule="exact"/>
        <w:ind w:firstLine="422" w:firstLineChars="200"/>
        <w:rPr>
          <w:rFonts w:ascii="宋体" w:hAnsi="宋体" w:cs="Arial"/>
          <w:szCs w:val="21"/>
          <w:u w:val="single"/>
        </w:rPr>
      </w:pPr>
      <w:r>
        <w:rPr>
          <w:rFonts w:hint="eastAsia" w:ascii="宋体" w:hAnsi="宋体"/>
          <w:b/>
          <w:szCs w:val="21"/>
          <w:lang w:val="en-US" w:eastAsia="zh-CN"/>
        </w:rPr>
        <w:t>九</w:t>
      </w:r>
      <w:r>
        <w:rPr>
          <w:rFonts w:hint="eastAsia" w:ascii="宋体" w:hAnsi="宋体"/>
          <w:b/>
          <w:szCs w:val="21"/>
        </w:rPr>
        <w:t>、网上公告媒体查询</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cs="Arial"/>
          <w:szCs w:val="21"/>
        </w:rPr>
        <w:t>广西国际博览集团有限公司官方网站（http://www.gxexpogp.cn）</w:t>
      </w:r>
    </w:p>
    <w:p>
      <w:pPr>
        <w:snapToGrid w:val="0"/>
        <w:spacing w:line="400" w:lineRule="exact"/>
        <w:rPr>
          <w:rFonts w:ascii="宋体" w:hAnsi="宋体"/>
          <w:szCs w:val="21"/>
        </w:rPr>
      </w:pPr>
    </w:p>
    <w:p>
      <w:pPr>
        <w:snapToGrid w:val="0"/>
        <w:spacing w:line="400" w:lineRule="exact"/>
        <w:ind w:left="238"/>
        <w:jc w:val="right"/>
        <w:rPr>
          <w:rFonts w:ascii="宋体" w:hAnsi="宋体" w:cs="Arial"/>
          <w:szCs w:val="21"/>
        </w:rPr>
      </w:pPr>
      <w:r>
        <w:rPr>
          <w:rFonts w:hint="eastAsia" w:ascii="宋体" w:hAnsi="宋体"/>
          <w:szCs w:val="21"/>
        </w:rPr>
        <w:t xml:space="preserve">                                     广西东博会场馆运营有限公司</w:t>
      </w:r>
    </w:p>
    <w:p>
      <w:pPr>
        <w:snapToGrid w:val="0"/>
        <w:spacing w:line="400" w:lineRule="exact"/>
        <w:ind w:left="238"/>
        <w:jc w:val="right"/>
        <w:rPr>
          <w:rFonts w:hint="eastAsia" w:ascii="宋体" w:hAnsi="宋体"/>
          <w:szCs w:val="21"/>
        </w:rPr>
      </w:pPr>
      <w:r>
        <w:rPr>
          <w:rFonts w:hint="eastAsia" w:ascii="宋体" w:hAnsi="宋体"/>
          <w:szCs w:val="21"/>
        </w:rPr>
        <w:t>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p>
    <w:p>
      <w:pPr>
        <w:spacing w:line="400" w:lineRule="exact"/>
        <w:jc w:val="center"/>
        <w:rPr>
          <w:rFonts w:ascii="宋体" w:hAnsi="宋体"/>
          <w:b/>
          <w:sz w:val="32"/>
          <w:szCs w:val="32"/>
        </w:rPr>
      </w:pPr>
      <w:r>
        <w:rPr>
          <w:rFonts w:ascii="宋体" w:hAnsi="宋体"/>
          <w:b/>
          <w:sz w:val="32"/>
          <w:szCs w:val="32"/>
        </w:rPr>
        <w:br w:type="page"/>
      </w:r>
    </w:p>
    <w:p>
      <w:pPr>
        <w:pStyle w:val="3"/>
        <w:jc w:val="center"/>
      </w:pPr>
      <w:bookmarkStart w:id="5" w:name="_Toc393040185"/>
      <w:bookmarkStart w:id="6" w:name="_Toc2310"/>
      <w:bookmarkStart w:id="7" w:name="_Toc29166_WPSOffice_Level1"/>
      <w:r>
        <w:rPr>
          <w:rFonts w:hint="eastAsia"/>
        </w:rPr>
        <w:t>第二章供应商须知</w:t>
      </w:r>
      <w:bookmarkEnd w:id="5"/>
      <w:bookmarkEnd w:id="6"/>
      <w:bookmarkEnd w:id="7"/>
    </w:p>
    <w:p>
      <w:pPr>
        <w:spacing w:line="400" w:lineRule="exact"/>
        <w:jc w:val="center"/>
        <w:rPr>
          <w:rFonts w:ascii="宋体" w:hAnsi="宋体"/>
          <w:b/>
          <w:sz w:val="32"/>
          <w:szCs w:val="32"/>
        </w:rPr>
      </w:pPr>
      <w:bookmarkStart w:id="8" w:name="_Toc22179_WPSOffice_Level2"/>
      <w:r>
        <w:rPr>
          <w:rFonts w:hint="eastAsia" w:ascii="宋体" w:hAnsi="宋体"/>
          <w:b/>
          <w:sz w:val="32"/>
          <w:szCs w:val="32"/>
        </w:rPr>
        <w:t>供应商须知前附表</w:t>
      </w:r>
      <w:bookmarkEnd w:id="8"/>
    </w:p>
    <w:p>
      <w:pPr>
        <w:spacing w:line="400" w:lineRule="exact"/>
        <w:jc w:val="center"/>
        <w:rPr>
          <w:rFonts w:ascii="宋体" w:hAnsi="宋体"/>
          <w:b/>
          <w:sz w:val="32"/>
          <w:szCs w:val="32"/>
        </w:rPr>
      </w:pP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line="340" w:lineRule="exact"/>
              <w:jc w:val="center"/>
              <w:rPr>
                <w:rFonts w:ascii="宋体" w:hAnsi="宋体"/>
                <w:b/>
                <w:szCs w:val="21"/>
              </w:rPr>
            </w:pPr>
            <w:r>
              <w:rPr>
                <w:rFonts w:hint="eastAsia" w:ascii="宋体" w:hAnsi="宋体"/>
                <w:b/>
                <w:szCs w:val="21"/>
              </w:rPr>
              <w:t>序号</w:t>
            </w:r>
          </w:p>
        </w:tc>
        <w:tc>
          <w:tcPr>
            <w:tcW w:w="993" w:type="dxa"/>
          </w:tcPr>
          <w:p>
            <w:pPr>
              <w:spacing w:line="340" w:lineRule="exact"/>
              <w:jc w:val="center"/>
              <w:rPr>
                <w:rFonts w:ascii="宋体" w:hAnsi="宋体"/>
                <w:b/>
                <w:szCs w:val="21"/>
              </w:rPr>
            </w:pPr>
            <w:r>
              <w:rPr>
                <w:rFonts w:hint="eastAsia" w:ascii="宋体" w:hAnsi="宋体"/>
                <w:b/>
                <w:szCs w:val="21"/>
              </w:rPr>
              <w:t>条款号</w:t>
            </w:r>
          </w:p>
        </w:tc>
        <w:tc>
          <w:tcPr>
            <w:tcW w:w="6854" w:type="dxa"/>
          </w:tcPr>
          <w:p>
            <w:pPr>
              <w:spacing w:line="340" w:lineRule="exact"/>
              <w:jc w:val="center"/>
              <w:rPr>
                <w:rFonts w:ascii="宋体" w:hAnsi="宋体"/>
                <w:b/>
                <w:szCs w:val="21"/>
              </w:rPr>
            </w:pPr>
            <w:r>
              <w:rPr>
                <w:rFonts w:hint="eastAsia" w:ascii="宋体" w:hAnsi="宋体"/>
                <w:b/>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1</w:t>
            </w:r>
          </w:p>
        </w:tc>
        <w:tc>
          <w:tcPr>
            <w:tcW w:w="993" w:type="dxa"/>
            <w:vAlign w:val="center"/>
          </w:tcPr>
          <w:p>
            <w:pPr>
              <w:spacing w:line="340" w:lineRule="exact"/>
              <w:jc w:val="center"/>
              <w:rPr>
                <w:rFonts w:ascii="宋体" w:hAnsi="宋体"/>
                <w:szCs w:val="21"/>
              </w:rPr>
            </w:pPr>
            <w:r>
              <w:rPr>
                <w:rFonts w:hint="eastAsia" w:ascii="宋体" w:hAnsi="宋体"/>
                <w:szCs w:val="21"/>
              </w:rPr>
              <w:t>1.1</w:t>
            </w:r>
          </w:p>
        </w:tc>
        <w:tc>
          <w:tcPr>
            <w:tcW w:w="6854" w:type="dxa"/>
            <w:vAlign w:val="center"/>
          </w:tcPr>
          <w:p>
            <w:pPr>
              <w:spacing w:line="340" w:lineRule="exact"/>
              <w:rPr>
                <w:rFonts w:ascii="宋体" w:hAnsi="宋体"/>
                <w:szCs w:val="21"/>
                <w:u w:val="single"/>
              </w:rPr>
            </w:pPr>
            <w:r>
              <w:rPr>
                <w:rFonts w:hint="eastAsia" w:ascii="宋体" w:hAnsi="宋体"/>
                <w:szCs w:val="21"/>
              </w:rPr>
              <w:t>项目名称：</w:t>
            </w:r>
            <w:r>
              <w:rPr>
                <w:rFonts w:hint="eastAsia" w:ascii="宋体" w:hAnsi="宋体"/>
                <w:szCs w:val="21"/>
                <w:lang w:eastAsia="zh-CN"/>
              </w:rPr>
              <w:t>南宁国际会展中心除“四害”综合治理</w:t>
            </w:r>
            <w:r>
              <w:rPr>
                <w:rFonts w:hint="eastAsia" w:ascii="宋体" w:hAnsi="宋体"/>
                <w:szCs w:val="21"/>
              </w:rPr>
              <w:t>服务采购</w:t>
            </w:r>
          </w:p>
          <w:p>
            <w:pPr>
              <w:spacing w:line="340" w:lineRule="exact"/>
              <w:rPr>
                <w:rFonts w:hint="default" w:ascii="宋体" w:hAnsi="宋体" w:eastAsia="宋体"/>
                <w:szCs w:val="21"/>
                <w:u w:val="single"/>
                <w:lang w:val="en-US" w:eastAsia="zh-CN"/>
              </w:rPr>
            </w:pPr>
            <w:r>
              <w:rPr>
                <w:rFonts w:hint="eastAsia" w:ascii="宋体" w:hAnsi="宋体"/>
                <w:szCs w:val="21"/>
              </w:rPr>
              <w:t>项目编号：</w:t>
            </w:r>
            <w:r>
              <w:rPr>
                <w:rFonts w:hint="eastAsia" w:ascii="宋体" w:hAnsi="宋体"/>
                <w:szCs w:val="21"/>
                <w:lang w:val="en-US" w:eastAsia="zh-CN"/>
              </w:rPr>
              <w:t>GIEG2019YY-FWCG-0002</w:t>
            </w:r>
          </w:p>
          <w:p>
            <w:pPr>
              <w:spacing w:line="340" w:lineRule="exact"/>
              <w:rPr>
                <w:rFonts w:ascii="宋体" w:hAnsi="宋体"/>
                <w:szCs w:val="21"/>
                <w:u w:val="single"/>
              </w:rPr>
            </w:pPr>
            <w:r>
              <w:rPr>
                <w:rFonts w:hint="eastAsia" w:ascii="宋体" w:hAnsi="宋体"/>
                <w:szCs w:val="21"/>
              </w:rPr>
              <w:t>项目预算：</w:t>
            </w:r>
            <w:r>
              <w:rPr>
                <w:rFonts w:hint="eastAsia" w:ascii="宋体" w:hAnsi="宋体"/>
                <w:szCs w:val="21"/>
                <w:u w:val="single"/>
              </w:rPr>
              <w:t>8万元整</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2</w:t>
            </w:r>
          </w:p>
        </w:tc>
        <w:tc>
          <w:tcPr>
            <w:tcW w:w="993" w:type="dxa"/>
            <w:vAlign w:val="center"/>
          </w:tcPr>
          <w:p>
            <w:pPr>
              <w:spacing w:line="340" w:lineRule="exact"/>
              <w:jc w:val="center"/>
              <w:rPr>
                <w:rFonts w:ascii="宋体" w:hAnsi="宋体"/>
                <w:szCs w:val="21"/>
              </w:rPr>
            </w:pPr>
            <w:r>
              <w:rPr>
                <w:rFonts w:hint="eastAsia" w:ascii="宋体" w:hAnsi="宋体"/>
                <w:szCs w:val="21"/>
              </w:rPr>
              <w:t>3</w:t>
            </w:r>
          </w:p>
        </w:tc>
        <w:tc>
          <w:tcPr>
            <w:tcW w:w="6854" w:type="dxa"/>
            <w:vAlign w:val="center"/>
          </w:tcPr>
          <w:p>
            <w:pPr>
              <w:spacing w:line="340" w:lineRule="exact"/>
              <w:rPr>
                <w:rFonts w:ascii="宋体" w:hAnsi="宋体"/>
                <w:szCs w:val="21"/>
              </w:rPr>
            </w:pPr>
            <w:r>
              <w:rPr>
                <w:rFonts w:hint="eastAsia" w:ascii="宋体" w:hAnsi="宋体"/>
                <w:szCs w:val="21"/>
              </w:rPr>
              <w:t>供应商的基本条件：</w:t>
            </w:r>
          </w:p>
          <w:p>
            <w:pPr>
              <w:spacing w:line="340" w:lineRule="exact"/>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国内注册（指按国家有关规定要求注册的），经营范围包含本次</w:t>
            </w:r>
            <w:r>
              <w:rPr>
                <w:rFonts w:hint="eastAsia" w:ascii="宋体" w:hAnsi="宋体"/>
                <w:szCs w:val="21"/>
                <w:lang w:eastAsia="zh-CN"/>
              </w:rPr>
              <w:t>竞争性谈判</w:t>
            </w:r>
            <w:r>
              <w:rPr>
                <w:rFonts w:hint="eastAsia" w:ascii="宋体" w:hAnsi="宋体"/>
                <w:szCs w:val="21"/>
              </w:rPr>
              <w:t>采购服务，具备法人资格的供应商；</w:t>
            </w:r>
          </w:p>
          <w:p>
            <w:pPr>
              <w:spacing w:line="340" w:lineRule="exact"/>
              <w:rPr>
                <w:rFonts w:ascii="宋体" w:hAnsi="宋体"/>
                <w:szCs w:val="21"/>
              </w:rPr>
            </w:pPr>
            <w:r>
              <w:rPr>
                <w:rFonts w:hint="eastAsia" w:ascii="宋体" w:hAnsi="宋体"/>
                <w:szCs w:val="21"/>
                <w:lang w:val="en-US" w:eastAsia="zh-CN"/>
              </w:rPr>
              <w:t>2.</w:t>
            </w:r>
            <w:r>
              <w:rPr>
                <w:rFonts w:hint="eastAsia" w:ascii="宋体" w:hAnsi="宋体"/>
                <w:szCs w:val="21"/>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3</w:t>
            </w:r>
          </w:p>
        </w:tc>
        <w:tc>
          <w:tcPr>
            <w:tcW w:w="993" w:type="dxa"/>
            <w:vAlign w:val="center"/>
          </w:tcPr>
          <w:p>
            <w:pPr>
              <w:spacing w:line="340" w:lineRule="exact"/>
              <w:jc w:val="center"/>
              <w:rPr>
                <w:rFonts w:ascii="宋体" w:hAnsi="宋体"/>
                <w:szCs w:val="21"/>
              </w:rPr>
            </w:pPr>
            <w:r>
              <w:rPr>
                <w:rFonts w:hint="eastAsia" w:ascii="宋体" w:hAnsi="宋体"/>
                <w:szCs w:val="21"/>
              </w:rPr>
              <w:t>4.2</w:t>
            </w:r>
          </w:p>
        </w:tc>
        <w:tc>
          <w:tcPr>
            <w:tcW w:w="6854" w:type="dxa"/>
            <w:vAlign w:val="center"/>
          </w:tcPr>
          <w:p>
            <w:pPr>
              <w:spacing w:line="340" w:lineRule="exact"/>
              <w:rPr>
                <w:rFonts w:hint="eastAsia" w:ascii="宋体" w:hAnsi="宋体" w:eastAsia="宋体"/>
                <w:szCs w:val="21"/>
                <w:highlight w:val="yellow"/>
                <w:lang w:val="en-US" w:eastAsia="zh-CN"/>
              </w:rPr>
            </w:pPr>
            <w:r>
              <w:rPr>
                <w:rFonts w:hint="eastAsia" w:ascii="宋体" w:hAnsi="宋体"/>
                <w:b/>
                <w:color w:val="auto"/>
                <w:szCs w:val="21"/>
              </w:rPr>
              <w:t>成交服务费：</w:t>
            </w:r>
            <w:r>
              <w:rPr>
                <w:rFonts w:hint="eastAsia" w:ascii="宋体" w:hAnsi="宋体"/>
                <w:b/>
                <w:color w:val="auto"/>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4</w:t>
            </w:r>
          </w:p>
        </w:tc>
        <w:tc>
          <w:tcPr>
            <w:tcW w:w="993" w:type="dxa"/>
            <w:vAlign w:val="center"/>
          </w:tcPr>
          <w:p>
            <w:pPr>
              <w:spacing w:line="340" w:lineRule="exact"/>
              <w:jc w:val="center"/>
              <w:rPr>
                <w:rFonts w:ascii="宋体" w:hAnsi="宋体"/>
                <w:szCs w:val="21"/>
              </w:rPr>
            </w:pPr>
            <w:r>
              <w:rPr>
                <w:rFonts w:hint="eastAsia" w:ascii="宋体" w:hAnsi="宋体"/>
                <w:szCs w:val="21"/>
              </w:rPr>
              <w:t>9.1</w:t>
            </w:r>
          </w:p>
        </w:tc>
        <w:tc>
          <w:tcPr>
            <w:tcW w:w="6854" w:type="dxa"/>
            <w:vAlign w:val="center"/>
          </w:tcPr>
          <w:p>
            <w:pPr>
              <w:tabs>
                <w:tab w:val="left" w:pos="525"/>
              </w:tabs>
              <w:snapToGrid w:val="0"/>
              <w:spacing w:line="340" w:lineRule="exact"/>
              <w:jc w:val="left"/>
              <w:rPr>
                <w:rFonts w:ascii="宋体" w:hAnsi="宋体"/>
                <w:szCs w:val="21"/>
              </w:rPr>
            </w:pPr>
            <w:r>
              <w:rPr>
                <w:rFonts w:hint="eastAsia" w:ascii="宋体" w:hAnsi="宋体"/>
                <w:szCs w:val="21"/>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5</w:t>
            </w:r>
          </w:p>
        </w:tc>
        <w:tc>
          <w:tcPr>
            <w:tcW w:w="993" w:type="dxa"/>
            <w:vAlign w:val="center"/>
          </w:tcPr>
          <w:p>
            <w:pPr>
              <w:spacing w:line="340" w:lineRule="exact"/>
              <w:jc w:val="center"/>
              <w:rPr>
                <w:rFonts w:ascii="宋体" w:hAnsi="宋体"/>
                <w:szCs w:val="21"/>
              </w:rPr>
            </w:pPr>
            <w:r>
              <w:rPr>
                <w:rFonts w:hint="eastAsia" w:ascii="宋体" w:hAnsi="宋体"/>
                <w:szCs w:val="21"/>
              </w:rPr>
              <w:t>10.1</w:t>
            </w:r>
          </w:p>
        </w:tc>
        <w:tc>
          <w:tcPr>
            <w:tcW w:w="6854" w:type="dxa"/>
            <w:vAlign w:val="center"/>
          </w:tcPr>
          <w:p>
            <w:pPr>
              <w:spacing w:line="340" w:lineRule="exact"/>
              <w:rPr>
                <w:rFonts w:ascii="宋体" w:hAnsi="宋体"/>
                <w:szCs w:val="21"/>
              </w:rPr>
            </w:pPr>
            <w:r>
              <w:rPr>
                <w:rFonts w:hint="eastAsia" w:ascii="宋体" w:hAnsi="宋体"/>
                <w:szCs w:val="21"/>
              </w:rPr>
              <w:t>响应文件份数：正本一份、副本</w:t>
            </w:r>
            <w:r>
              <w:rPr>
                <w:rFonts w:hint="eastAsia" w:ascii="宋体" w:hAnsi="宋体"/>
                <w:szCs w:val="21"/>
                <w:lang w:eastAsia="zh-CN"/>
              </w:rPr>
              <w:t>两</w:t>
            </w:r>
            <w:r>
              <w:rPr>
                <w:rFonts w:hint="eastAsia" w:ascii="宋体" w:hAnsi="宋体"/>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6</w:t>
            </w:r>
          </w:p>
        </w:tc>
        <w:tc>
          <w:tcPr>
            <w:tcW w:w="993" w:type="dxa"/>
            <w:vAlign w:val="center"/>
          </w:tcPr>
          <w:p>
            <w:pPr>
              <w:spacing w:line="340" w:lineRule="exact"/>
              <w:jc w:val="center"/>
              <w:rPr>
                <w:rFonts w:ascii="宋体" w:hAnsi="宋体"/>
                <w:szCs w:val="21"/>
              </w:rPr>
            </w:pPr>
            <w:r>
              <w:rPr>
                <w:rFonts w:hint="eastAsia" w:ascii="宋体" w:hAnsi="宋体"/>
                <w:szCs w:val="21"/>
              </w:rPr>
              <w:t>7</w:t>
            </w:r>
          </w:p>
        </w:tc>
        <w:tc>
          <w:tcPr>
            <w:tcW w:w="6854" w:type="dxa"/>
            <w:vAlign w:val="center"/>
          </w:tcPr>
          <w:p>
            <w:pPr>
              <w:spacing w:line="340" w:lineRule="exact"/>
              <w:rPr>
                <w:rFonts w:ascii="宋体" w:hAnsi="宋体"/>
                <w:szCs w:val="21"/>
              </w:rPr>
            </w:pPr>
            <w:r>
              <w:rPr>
                <w:rFonts w:hint="eastAsia" w:ascii="宋体" w:hAnsi="宋体"/>
                <w:szCs w:val="21"/>
              </w:rPr>
              <w:t>竞标有效期：自竞标截止之日起至采购合同签订之日止。</w:t>
            </w:r>
          </w:p>
          <w:p>
            <w:pPr>
              <w:pStyle w:val="14"/>
              <w:widowControl w:val="0"/>
              <w:tabs>
                <w:tab w:val="clear" w:pos="454"/>
              </w:tabs>
              <w:snapToGrid w:val="0"/>
              <w:spacing w:afterLines="0" w:line="340" w:lineRule="exact"/>
              <w:ind w:left="0" w:leftChars="0" w:firstLine="0" w:firstLineChars="0"/>
              <w:rPr>
                <w:rFonts w:ascii="宋体" w:hAnsi="宋体"/>
                <w:sz w:val="21"/>
                <w:szCs w:val="21"/>
              </w:rPr>
            </w:pPr>
            <w:bookmarkStart w:id="9" w:name="_Toc254970540"/>
            <w:bookmarkStart w:id="10" w:name="_Toc254970681"/>
            <w:r>
              <w:rPr>
                <w:rFonts w:hint="eastAsia" w:ascii="宋体" w:hAnsi="宋体"/>
                <w:sz w:val="21"/>
                <w:szCs w:val="21"/>
              </w:rPr>
              <w:t>1</w:t>
            </w:r>
            <w:r>
              <w:rPr>
                <w:rFonts w:hint="eastAsia" w:ascii="宋体" w:hAnsi="宋体"/>
                <w:sz w:val="21"/>
                <w:szCs w:val="21"/>
                <w:lang w:val="en-US" w:eastAsia="zh-CN"/>
              </w:rPr>
              <w:t>.</w:t>
            </w:r>
            <w:r>
              <w:rPr>
                <w:rFonts w:hint="eastAsia" w:ascii="宋体" w:hAnsi="宋体"/>
                <w:sz w:val="21"/>
                <w:szCs w:val="21"/>
              </w:rPr>
              <w:t>未成交的响应文件竞标有效期内均应保持有效。</w:t>
            </w:r>
            <w:bookmarkEnd w:id="9"/>
            <w:bookmarkEnd w:id="10"/>
          </w:p>
          <w:p>
            <w:pPr>
              <w:pStyle w:val="14"/>
              <w:widowControl w:val="0"/>
              <w:tabs>
                <w:tab w:val="clear" w:pos="454"/>
              </w:tabs>
              <w:snapToGrid w:val="0"/>
              <w:spacing w:afterLines="0" w:line="340" w:lineRule="exact"/>
              <w:ind w:left="0" w:leftChars="0" w:firstLine="0" w:firstLineChars="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w:t>
            </w:r>
            <w:r>
              <w:rPr>
                <w:rFonts w:hint="eastAsia" w:ascii="宋体" w:hAnsi="宋体"/>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7</w:t>
            </w:r>
          </w:p>
        </w:tc>
        <w:tc>
          <w:tcPr>
            <w:tcW w:w="993" w:type="dxa"/>
            <w:vAlign w:val="center"/>
          </w:tcPr>
          <w:p>
            <w:pPr>
              <w:spacing w:line="340" w:lineRule="exact"/>
              <w:jc w:val="center"/>
              <w:rPr>
                <w:rFonts w:ascii="宋体" w:hAnsi="宋体"/>
                <w:szCs w:val="21"/>
              </w:rPr>
            </w:pPr>
            <w:r>
              <w:rPr>
                <w:rFonts w:hint="eastAsia" w:ascii="宋体" w:hAnsi="宋体"/>
                <w:szCs w:val="21"/>
              </w:rPr>
              <w:t>8</w:t>
            </w:r>
          </w:p>
        </w:tc>
        <w:tc>
          <w:tcPr>
            <w:tcW w:w="6854" w:type="dxa"/>
            <w:vAlign w:val="center"/>
          </w:tcPr>
          <w:p>
            <w:pPr>
              <w:snapToGrid w:val="0"/>
              <w:spacing w:line="340" w:lineRule="exact"/>
              <w:rPr>
                <w:rFonts w:hint="eastAsia" w:ascii="宋体" w:hAnsi="宋体" w:eastAsia="宋体"/>
                <w:szCs w:val="21"/>
                <w:lang w:val="en-US" w:eastAsia="zh-CN"/>
              </w:rPr>
            </w:pPr>
            <w:r>
              <w:rPr>
                <w:rFonts w:hint="eastAsia" w:ascii="宋体" w:hAnsi="宋体"/>
                <w:color w:val="auto"/>
                <w:szCs w:val="21"/>
              </w:rPr>
              <w:t>竞标保证金金额：</w:t>
            </w:r>
            <w:r>
              <w:rPr>
                <w:rFonts w:hint="eastAsia" w:ascii="宋体" w:hAnsi="宋体"/>
                <w:color w:val="auto"/>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8</w:t>
            </w:r>
          </w:p>
        </w:tc>
        <w:tc>
          <w:tcPr>
            <w:tcW w:w="993" w:type="dxa"/>
            <w:vAlign w:val="center"/>
          </w:tcPr>
          <w:p>
            <w:pPr>
              <w:spacing w:line="340" w:lineRule="exact"/>
              <w:jc w:val="center"/>
              <w:rPr>
                <w:rFonts w:ascii="宋体" w:hAnsi="宋体"/>
                <w:szCs w:val="21"/>
              </w:rPr>
            </w:pPr>
            <w:r>
              <w:rPr>
                <w:rFonts w:hint="eastAsia" w:ascii="宋体" w:hAnsi="宋体"/>
                <w:szCs w:val="21"/>
              </w:rPr>
              <w:t>11</w:t>
            </w:r>
          </w:p>
        </w:tc>
        <w:tc>
          <w:tcPr>
            <w:tcW w:w="6854" w:type="dxa"/>
            <w:vAlign w:val="center"/>
          </w:tcPr>
          <w:p>
            <w:pPr>
              <w:spacing w:line="340" w:lineRule="exact"/>
              <w:rPr>
                <w:rFonts w:hint="eastAsia" w:ascii="宋体" w:hAnsi="宋体"/>
                <w:szCs w:val="21"/>
              </w:rPr>
            </w:pPr>
            <w:r>
              <w:rPr>
                <w:rFonts w:hint="eastAsia" w:ascii="宋体" w:hAnsi="宋体"/>
                <w:szCs w:val="21"/>
              </w:rPr>
              <w:t>响应文件接收时间：2019年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2019年6月17日</w:t>
            </w:r>
            <w:r>
              <w:rPr>
                <w:rFonts w:hint="eastAsia" w:ascii="宋体" w:hAnsi="宋体"/>
                <w:szCs w:val="21"/>
              </w:rPr>
              <w:t>止</w:t>
            </w:r>
          </w:p>
          <w:p>
            <w:pPr>
              <w:spacing w:line="340" w:lineRule="exact"/>
              <w:rPr>
                <w:rFonts w:ascii="宋体" w:hAnsi="宋体"/>
                <w:szCs w:val="21"/>
              </w:rPr>
            </w:pPr>
            <w:r>
              <w:rPr>
                <w:rFonts w:hint="eastAsia" w:ascii="宋体" w:hAnsi="宋体"/>
                <w:szCs w:val="21"/>
              </w:rPr>
              <w:t>地址：广西东博会场馆运营有限公司（</w:t>
            </w:r>
            <w:r>
              <w:rPr>
                <w:rFonts w:hint="eastAsia" w:ascii="宋体" w:hAnsi="宋体" w:cs="宋体"/>
                <w:color w:val="000000"/>
                <w:szCs w:val="21"/>
                <w:u w:val="single"/>
              </w:rPr>
              <w:t>南宁市会展路18号会展大厦12楼</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9</w:t>
            </w:r>
          </w:p>
        </w:tc>
        <w:tc>
          <w:tcPr>
            <w:tcW w:w="993" w:type="dxa"/>
            <w:vAlign w:val="center"/>
          </w:tcPr>
          <w:p>
            <w:pPr>
              <w:spacing w:line="340" w:lineRule="exact"/>
              <w:jc w:val="center"/>
              <w:rPr>
                <w:rFonts w:ascii="宋体" w:hAnsi="宋体"/>
                <w:szCs w:val="21"/>
              </w:rPr>
            </w:pPr>
          </w:p>
        </w:tc>
        <w:tc>
          <w:tcPr>
            <w:tcW w:w="6854" w:type="dxa"/>
            <w:vAlign w:val="center"/>
          </w:tcPr>
          <w:p>
            <w:pPr>
              <w:spacing w:line="340" w:lineRule="exact"/>
              <w:rPr>
                <w:rFonts w:ascii="宋体" w:hAnsi="宋体"/>
                <w:szCs w:val="21"/>
              </w:rPr>
            </w:pPr>
            <w:r>
              <w:rPr>
                <w:rFonts w:hint="eastAsia" w:ascii="宋体" w:hAnsi="宋体"/>
                <w:szCs w:val="21"/>
              </w:rPr>
              <w:t>谈判时间：</w:t>
            </w:r>
            <w:r>
              <w:rPr>
                <w:rFonts w:hint="eastAsia" w:ascii="宋体" w:hAnsi="宋体"/>
                <w:szCs w:val="21"/>
                <w:u w:val="single"/>
              </w:rPr>
              <w:t>2019年</w:t>
            </w:r>
            <w:r>
              <w:rPr>
                <w:rFonts w:hint="eastAsia" w:ascii="宋体" w:hAnsi="宋体"/>
                <w:szCs w:val="21"/>
                <w:u w:val="single"/>
                <w:lang w:val="en-US" w:eastAsia="zh-CN"/>
              </w:rPr>
              <w:t>6</w:t>
            </w:r>
            <w:r>
              <w:rPr>
                <w:rFonts w:hint="eastAsia" w:ascii="宋体" w:hAnsi="宋体"/>
                <w:szCs w:val="21"/>
                <w:u w:val="single"/>
              </w:rPr>
              <w:t>月</w:t>
            </w:r>
            <w:r>
              <w:rPr>
                <w:rFonts w:hint="eastAsia" w:ascii="宋体" w:hAnsi="宋体"/>
                <w:szCs w:val="21"/>
                <w:u w:val="single"/>
                <w:lang w:val="en-US" w:eastAsia="zh-CN"/>
              </w:rPr>
              <w:t>18</w:t>
            </w:r>
            <w:r>
              <w:rPr>
                <w:rFonts w:hint="eastAsia" w:ascii="宋体" w:hAnsi="宋体"/>
                <w:szCs w:val="21"/>
                <w:u w:val="single"/>
              </w:rPr>
              <w:t>日截标后</w:t>
            </w:r>
            <w:r>
              <w:rPr>
                <w:rFonts w:hint="eastAsia" w:ascii="宋体" w:hAnsi="宋体"/>
                <w:szCs w:val="21"/>
              </w:rPr>
              <w:t>（具体时间</w:t>
            </w:r>
            <w:r>
              <w:rPr>
                <w:rFonts w:hint="eastAsia" w:ascii="宋体" w:hAnsi="宋体"/>
                <w:szCs w:val="21"/>
                <w:lang w:eastAsia="zh-CN"/>
              </w:rPr>
              <w:t>由采购人</w:t>
            </w:r>
            <w:r>
              <w:rPr>
                <w:rFonts w:hint="eastAsia" w:ascii="宋体" w:hAnsi="宋体"/>
                <w:szCs w:val="21"/>
              </w:rPr>
              <w:t>另行通知）</w:t>
            </w:r>
          </w:p>
          <w:p>
            <w:pPr>
              <w:spacing w:line="340" w:lineRule="exact"/>
              <w:rPr>
                <w:rFonts w:ascii="宋体" w:hAnsi="宋体"/>
                <w:szCs w:val="21"/>
              </w:rPr>
            </w:pPr>
            <w:r>
              <w:rPr>
                <w:rFonts w:hint="eastAsia" w:ascii="宋体" w:hAnsi="宋体"/>
                <w:szCs w:val="21"/>
              </w:rPr>
              <w:t>谈判地点：</w:t>
            </w:r>
            <w:r>
              <w:rPr>
                <w:rFonts w:hint="eastAsia" w:ascii="宋体" w:hAnsi="宋体"/>
                <w:szCs w:val="21"/>
                <w:u w:val="single"/>
              </w:rPr>
              <w:t>广西东博会场馆运营有限公司（南宁市会展路18号会展大厦12楼）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10</w:t>
            </w:r>
          </w:p>
        </w:tc>
        <w:tc>
          <w:tcPr>
            <w:tcW w:w="993" w:type="dxa"/>
            <w:vAlign w:val="center"/>
          </w:tcPr>
          <w:p>
            <w:pPr>
              <w:spacing w:line="340" w:lineRule="exact"/>
              <w:jc w:val="center"/>
              <w:rPr>
                <w:rFonts w:ascii="宋体" w:hAnsi="宋体"/>
                <w:szCs w:val="21"/>
              </w:rPr>
            </w:pPr>
            <w:r>
              <w:rPr>
                <w:rFonts w:hint="eastAsia" w:ascii="宋体" w:hAnsi="宋体"/>
                <w:szCs w:val="21"/>
              </w:rPr>
              <w:t>15.1</w:t>
            </w:r>
          </w:p>
        </w:tc>
        <w:tc>
          <w:tcPr>
            <w:tcW w:w="6854" w:type="dxa"/>
            <w:vAlign w:val="center"/>
          </w:tcPr>
          <w:p>
            <w:pPr>
              <w:autoSpaceDE w:val="0"/>
              <w:autoSpaceDN w:val="0"/>
              <w:snapToGrid w:val="0"/>
              <w:spacing w:line="340" w:lineRule="exact"/>
              <w:textAlignment w:val="bottom"/>
              <w:rPr>
                <w:rFonts w:hint="eastAsia" w:ascii="宋体" w:hAnsi="宋体"/>
                <w:szCs w:val="21"/>
              </w:rPr>
            </w:pPr>
            <w:r>
              <w:rPr>
                <w:rFonts w:hint="eastAsia" w:ascii="宋体" w:hAnsi="宋体"/>
                <w:szCs w:val="21"/>
              </w:rPr>
              <w:t>履约保证金金额：</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成交人（乙方）在签订本项目合同前，须向</w:t>
            </w:r>
            <w:r>
              <w:rPr>
                <w:rFonts w:hint="eastAsia" w:ascii="宋体" w:hAnsi="宋体"/>
                <w:szCs w:val="21"/>
                <w:lang w:eastAsia="zh-CN"/>
              </w:rPr>
              <w:t>招标</w:t>
            </w:r>
            <w:r>
              <w:rPr>
                <w:rFonts w:hint="eastAsia" w:ascii="宋体" w:hAnsi="宋体"/>
                <w:szCs w:val="21"/>
              </w:rPr>
              <w:t>采购单位（甲方）缴纳中标</w:t>
            </w:r>
            <w:r>
              <w:rPr>
                <w:rFonts w:hint="eastAsia" w:ascii="宋体" w:hAnsi="宋体"/>
                <w:szCs w:val="21"/>
                <w:u w:val="single"/>
              </w:rPr>
              <w:t xml:space="preserve">金额5% </w:t>
            </w:r>
            <w:r>
              <w:rPr>
                <w:rFonts w:hint="eastAsia" w:ascii="宋体" w:hAnsi="宋体"/>
                <w:szCs w:val="21"/>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服务期满后，如乙方无任何违约违法行为的，甲方应在10个工作日内退还履约保证金（不计息）.</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履约保证金交到采购人账户：</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开户名：广西东博会场馆运营有限公司</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开户行：中国建设银行股份有限公司南宁金湖广场支行</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账  号：45050160426600000896</w:t>
            </w:r>
          </w:p>
          <w:p>
            <w:pPr>
              <w:autoSpaceDE w:val="0"/>
              <w:autoSpaceDN w:val="0"/>
              <w:snapToGrid w:val="0"/>
              <w:spacing w:line="340" w:lineRule="exact"/>
              <w:textAlignment w:val="bottom"/>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11</w:t>
            </w:r>
          </w:p>
        </w:tc>
        <w:tc>
          <w:tcPr>
            <w:tcW w:w="993" w:type="dxa"/>
            <w:vAlign w:val="center"/>
          </w:tcPr>
          <w:p>
            <w:pPr>
              <w:spacing w:line="340" w:lineRule="exact"/>
              <w:jc w:val="center"/>
              <w:rPr>
                <w:rFonts w:ascii="宋体" w:hAnsi="宋体"/>
                <w:szCs w:val="21"/>
              </w:rPr>
            </w:pPr>
          </w:p>
        </w:tc>
        <w:tc>
          <w:tcPr>
            <w:tcW w:w="6854" w:type="dxa"/>
            <w:vAlign w:val="center"/>
          </w:tcPr>
          <w:p>
            <w:pPr>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本谈判采购文件中描述供应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spacing w:line="34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本谈判采购文件中描述供应商的“签字”是指供应商的法定代表人或被授权人亲自在谈判采购文件规定签署处亲笔写上个人的名字的行为，私章、签字章、印鉴、影印等其它形式均不能代替亲笔签字。</w:t>
            </w:r>
          </w:p>
        </w:tc>
      </w:tr>
    </w:tbl>
    <w:p>
      <w:pPr>
        <w:spacing w:line="400" w:lineRule="exact"/>
        <w:jc w:val="center"/>
        <w:rPr>
          <w:rFonts w:ascii="宋体" w:hAnsi="宋体"/>
          <w:b/>
          <w:sz w:val="32"/>
          <w:szCs w:val="32"/>
        </w:rPr>
      </w:pPr>
      <w:r>
        <w:rPr>
          <w:rFonts w:ascii="宋体" w:hAnsi="宋体"/>
          <w:b/>
          <w:sz w:val="32"/>
          <w:szCs w:val="32"/>
        </w:rPr>
        <w:br w:type="page"/>
      </w:r>
    </w:p>
    <w:p>
      <w:pPr>
        <w:spacing w:line="400" w:lineRule="exact"/>
        <w:jc w:val="center"/>
        <w:rPr>
          <w:rFonts w:ascii="宋体" w:hAnsi="宋体"/>
          <w:b/>
          <w:sz w:val="32"/>
          <w:szCs w:val="32"/>
        </w:rPr>
      </w:pPr>
      <w:bookmarkStart w:id="11" w:name="_Toc21831_WPSOffice_Level2"/>
      <w:r>
        <w:rPr>
          <w:rFonts w:hint="eastAsia" w:ascii="宋体" w:hAnsi="宋体"/>
          <w:b/>
          <w:sz w:val="32"/>
          <w:szCs w:val="32"/>
        </w:rPr>
        <w:t>供应商须知</w:t>
      </w:r>
      <w:bookmarkEnd w:id="11"/>
    </w:p>
    <w:p>
      <w:pPr>
        <w:spacing w:line="360" w:lineRule="exact"/>
        <w:rPr>
          <w:rFonts w:ascii="宋体" w:hAnsi="宋体"/>
          <w:szCs w:val="21"/>
        </w:rPr>
      </w:pPr>
    </w:p>
    <w:p>
      <w:pPr>
        <w:spacing w:line="360" w:lineRule="exact"/>
        <w:ind w:firstLine="422" w:firstLineChars="200"/>
        <w:rPr>
          <w:rFonts w:ascii="宋体" w:hAnsi="宋体"/>
          <w:b/>
          <w:szCs w:val="21"/>
        </w:rPr>
      </w:pPr>
      <w:bookmarkStart w:id="12" w:name="_Toc32649_WPSOffice_Level2"/>
      <w:r>
        <w:rPr>
          <w:rFonts w:hint="eastAsia" w:ascii="宋体" w:hAnsi="宋体"/>
          <w:b/>
          <w:szCs w:val="21"/>
        </w:rPr>
        <w:t>一、总　则</w:t>
      </w:r>
      <w:bookmarkEnd w:id="12"/>
    </w:p>
    <w:p>
      <w:pPr>
        <w:spacing w:line="360" w:lineRule="exact"/>
        <w:ind w:firstLine="420" w:firstLineChars="200"/>
        <w:rPr>
          <w:rFonts w:ascii="宋体" w:hAnsi="宋体"/>
          <w:szCs w:val="21"/>
        </w:rPr>
      </w:pPr>
      <w:bookmarkStart w:id="13" w:name="_Toc29166_WPSOffice_Level3"/>
      <w:r>
        <w:rPr>
          <w:rFonts w:hint="eastAsia" w:ascii="宋体" w:hAnsi="宋体"/>
          <w:szCs w:val="21"/>
        </w:rPr>
        <w:t>1. 适用范围</w:t>
      </w:r>
      <w:bookmarkEnd w:id="13"/>
    </w:p>
    <w:p>
      <w:pPr>
        <w:spacing w:line="360" w:lineRule="exact"/>
        <w:ind w:left="420" w:leftChars="200" w:firstLine="0" w:firstLineChars="0"/>
        <w:rPr>
          <w:rFonts w:ascii="宋体" w:hAnsi="宋体"/>
          <w:szCs w:val="21"/>
        </w:rPr>
      </w:pPr>
      <w:r>
        <w:rPr>
          <w:rFonts w:hint="eastAsia" w:ascii="宋体" w:hAnsi="宋体"/>
          <w:szCs w:val="21"/>
        </w:rPr>
        <w:t>1.1 本文件仅适用于本文件中所叙述的货物、服务类采购项目。</w:t>
      </w:r>
    </w:p>
    <w:p>
      <w:pPr>
        <w:spacing w:line="360" w:lineRule="exact"/>
        <w:ind w:firstLine="420" w:firstLineChars="200"/>
        <w:rPr>
          <w:rFonts w:ascii="宋体" w:hAnsi="宋体"/>
          <w:szCs w:val="21"/>
        </w:rPr>
      </w:pPr>
      <w:bookmarkStart w:id="14" w:name="_Toc22179_WPSOffice_Level3"/>
      <w:r>
        <w:rPr>
          <w:rFonts w:hint="eastAsia" w:ascii="宋体" w:hAnsi="宋体"/>
          <w:szCs w:val="21"/>
        </w:rPr>
        <w:t>2. 定义</w:t>
      </w:r>
      <w:bookmarkEnd w:id="14"/>
    </w:p>
    <w:p>
      <w:pPr>
        <w:spacing w:line="360" w:lineRule="exact"/>
        <w:ind w:firstLine="420" w:firstLineChars="200"/>
        <w:rPr>
          <w:rFonts w:ascii="宋体" w:hAnsi="宋体"/>
          <w:szCs w:val="21"/>
        </w:rPr>
      </w:pPr>
      <w:r>
        <w:rPr>
          <w:rFonts w:hint="eastAsia" w:ascii="宋体" w:hAnsi="宋体"/>
          <w:szCs w:val="21"/>
        </w:rPr>
        <w:t>2.1“采购人”是指：</w:t>
      </w:r>
      <w:r>
        <w:rPr>
          <w:rFonts w:hint="eastAsia" w:ascii="宋体" w:hAnsi="宋体"/>
          <w:szCs w:val="21"/>
          <w:u w:val="single"/>
        </w:rPr>
        <w:t>广西东博会场馆运营有限公司</w:t>
      </w:r>
    </w:p>
    <w:p>
      <w:pPr>
        <w:spacing w:line="360" w:lineRule="exact"/>
        <w:ind w:firstLine="420" w:firstLineChars="200"/>
        <w:rPr>
          <w:rFonts w:ascii="宋体" w:hAnsi="宋体"/>
          <w:szCs w:val="21"/>
          <w:u w:val="single"/>
        </w:rPr>
      </w:pPr>
      <w:r>
        <w:rPr>
          <w:rFonts w:hint="eastAsia" w:ascii="宋体" w:hAnsi="宋体"/>
          <w:szCs w:val="21"/>
        </w:rPr>
        <w:t>2.2“采购代理机构”：无</w:t>
      </w:r>
    </w:p>
    <w:p>
      <w:pPr>
        <w:spacing w:line="360" w:lineRule="exact"/>
        <w:ind w:firstLine="420" w:firstLineChars="200"/>
        <w:rPr>
          <w:rFonts w:ascii="宋体" w:hAnsi="宋体"/>
          <w:szCs w:val="21"/>
        </w:rPr>
      </w:pPr>
      <w:r>
        <w:rPr>
          <w:rFonts w:hint="eastAsia" w:ascii="宋体" w:hAnsi="宋体"/>
          <w:szCs w:val="21"/>
        </w:rPr>
        <w:t>2.3“供应商”是指响应本文件要求，参加谈判的法人或者其他组织。如果该供应商在本次谈判中成交，即成为“成交供应商”。</w:t>
      </w:r>
    </w:p>
    <w:p>
      <w:pPr>
        <w:spacing w:line="360" w:lineRule="exact"/>
        <w:ind w:left="420" w:leftChars="200" w:firstLine="0" w:firstLineChars="0"/>
        <w:rPr>
          <w:rFonts w:ascii="宋体" w:hAnsi="宋体"/>
          <w:szCs w:val="21"/>
        </w:rPr>
      </w:pPr>
      <w:r>
        <w:rPr>
          <w:rFonts w:hint="eastAsia" w:ascii="宋体" w:hAnsi="宋体"/>
          <w:szCs w:val="21"/>
        </w:rPr>
        <w:t>2.4“货物”是指各种形态和种类的物品，包括原材料、燃料、设备、产品等。</w:t>
      </w:r>
    </w:p>
    <w:p>
      <w:pPr>
        <w:spacing w:line="360" w:lineRule="exact"/>
        <w:ind w:left="420" w:leftChars="200" w:firstLine="0" w:firstLineChars="0"/>
        <w:rPr>
          <w:rFonts w:ascii="宋体" w:hAnsi="宋体"/>
          <w:szCs w:val="21"/>
        </w:rPr>
      </w:pPr>
      <w:r>
        <w:rPr>
          <w:rFonts w:hint="eastAsia" w:ascii="宋体" w:hAnsi="宋体"/>
          <w:szCs w:val="21"/>
        </w:rPr>
        <w:t>2.5“服务”是指除货物和工程以外的其他采购对象。</w:t>
      </w:r>
    </w:p>
    <w:p>
      <w:pPr>
        <w:spacing w:line="360" w:lineRule="exact"/>
        <w:ind w:firstLine="420" w:firstLineChars="200"/>
        <w:rPr>
          <w:rFonts w:hint="eastAsia" w:ascii="宋体" w:hAnsi="宋体"/>
          <w:szCs w:val="21"/>
        </w:rPr>
      </w:pPr>
      <w:r>
        <w:rPr>
          <w:rFonts w:hint="eastAsia" w:ascii="宋体" w:hAnsi="宋体"/>
          <w:szCs w:val="21"/>
        </w:rPr>
        <w:t>2.6“响应文件”是指：供应商根据本文件要求，编制包含报价、技术和服务等所有内容的响应文件。</w:t>
      </w:r>
    </w:p>
    <w:p>
      <w:pPr>
        <w:spacing w:line="36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2.7</w:t>
      </w:r>
      <w:r>
        <w:rPr>
          <w:rFonts w:hint="eastAsia" w:ascii="宋体" w:hAnsi="宋体"/>
          <w:szCs w:val="21"/>
        </w:rPr>
        <w:t>★本项目不接受联合体投标，投标人以联合体形式参加投标的，投标无效。</w:t>
      </w:r>
    </w:p>
    <w:p>
      <w:pPr>
        <w:spacing w:line="360" w:lineRule="exact"/>
        <w:ind w:firstLine="420" w:firstLineChars="200"/>
        <w:rPr>
          <w:rFonts w:ascii="宋体" w:hAnsi="宋体"/>
          <w:szCs w:val="21"/>
        </w:rPr>
      </w:pPr>
      <w:bookmarkStart w:id="15" w:name="_Toc21831_WPSOffice_Level3"/>
      <w:r>
        <w:rPr>
          <w:rFonts w:hint="eastAsia" w:ascii="宋体" w:hAnsi="宋体"/>
          <w:szCs w:val="21"/>
        </w:rPr>
        <w:t>3. 供应商的基本条件：</w:t>
      </w:r>
      <w:r>
        <w:rPr>
          <w:rFonts w:hint="eastAsia" w:ascii="宋体" w:hAnsi="宋体"/>
          <w:b/>
          <w:szCs w:val="21"/>
        </w:rPr>
        <w:t>见“供应商须知前附表”</w:t>
      </w:r>
      <w:r>
        <w:rPr>
          <w:rFonts w:hint="eastAsia" w:ascii="宋体" w:hAnsi="宋体"/>
          <w:szCs w:val="21"/>
        </w:rPr>
        <w:t>。</w:t>
      </w:r>
      <w:bookmarkEnd w:id="15"/>
    </w:p>
    <w:p>
      <w:pPr>
        <w:spacing w:line="360" w:lineRule="exact"/>
        <w:ind w:firstLine="420" w:firstLineChars="200"/>
        <w:rPr>
          <w:rFonts w:ascii="宋体" w:hAnsi="宋体"/>
          <w:szCs w:val="21"/>
        </w:rPr>
      </w:pPr>
      <w:r>
        <w:rPr>
          <w:rFonts w:hint="eastAsia" w:ascii="宋体" w:hAnsi="宋体"/>
          <w:szCs w:val="21"/>
        </w:rPr>
        <w:t>3.1 联合体投标</w:t>
      </w:r>
    </w:p>
    <w:p>
      <w:pPr>
        <w:spacing w:line="360" w:lineRule="exact"/>
        <w:ind w:firstLine="422" w:firstLineChars="200"/>
        <w:rPr>
          <w:rFonts w:ascii="宋体" w:hAnsi="宋体"/>
          <w:b/>
          <w:szCs w:val="21"/>
        </w:rPr>
      </w:pPr>
      <w:r>
        <w:rPr>
          <w:rFonts w:hint="eastAsia" w:ascii="宋体" w:hAnsi="宋体"/>
          <w:b/>
          <w:szCs w:val="21"/>
        </w:rPr>
        <w:t>3.1.1本项目明确不接受联合体形式投标的，本谈判采购文件所有相关联合体要求及格式文件均不适用。供应商以联合体形式参加投标的，竞标无效。</w:t>
      </w:r>
    </w:p>
    <w:p>
      <w:pPr>
        <w:spacing w:line="360" w:lineRule="exact"/>
        <w:ind w:firstLine="420" w:firstLineChars="200"/>
        <w:rPr>
          <w:rFonts w:ascii="宋体" w:hAnsi="宋体"/>
          <w:szCs w:val="21"/>
        </w:rPr>
      </w:pPr>
      <w:r>
        <w:rPr>
          <w:rFonts w:hint="eastAsia" w:ascii="宋体" w:hAnsi="宋体"/>
          <w:szCs w:val="21"/>
        </w:rPr>
        <w:t>3.1.2本项目接受联合体形式投标的，联合体投标要求如下：</w:t>
      </w:r>
    </w:p>
    <w:p>
      <w:pPr>
        <w:spacing w:line="360" w:lineRule="exact"/>
        <w:ind w:firstLine="420" w:firstLineChars="200"/>
        <w:rPr>
          <w:rFonts w:ascii="宋体" w:hAnsi="宋体"/>
          <w:szCs w:val="21"/>
        </w:rPr>
      </w:pPr>
      <w:r>
        <w:rPr>
          <w:rFonts w:hint="eastAsia" w:ascii="宋体" w:hAnsi="宋体"/>
          <w:szCs w:val="21"/>
        </w:rPr>
        <w:t>供应商为联合体形式的，必须提交联合体各方资格文件、联合体协议（格式见附件），否则将视为非实质响应而被拒绝。同时还应遵守以下规定，否则竞标无效：</w:t>
      </w:r>
    </w:p>
    <w:p>
      <w:pPr>
        <w:spacing w:line="360" w:lineRule="exact"/>
        <w:ind w:firstLine="420" w:firstLineChars="200"/>
        <w:rPr>
          <w:rFonts w:ascii="宋体" w:hAnsi="宋体"/>
          <w:szCs w:val="21"/>
        </w:rPr>
      </w:pPr>
      <w:r>
        <w:rPr>
          <w:rFonts w:hint="eastAsia" w:ascii="宋体" w:hAnsi="宋体"/>
          <w:szCs w:val="21"/>
        </w:rPr>
        <w:t>（1）联合体各方必须签订联合体协议书，明确联合体牵头人和各方权利、义务及分工、合同工作量比例；</w:t>
      </w:r>
    </w:p>
    <w:p>
      <w:pPr>
        <w:spacing w:line="360" w:lineRule="exact"/>
        <w:ind w:firstLine="420" w:firstLineChars="200"/>
        <w:rPr>
          <w:rFonts w:ascii="宋体" w:hAnsi="宋体"/>
          <w:szCs w:val="21"/>
        </w:rPr>
      </w:pPr>
      <w:r>
        <w:rPr>
          <w:rFonts w:hint="eastAsia" w:ascii="宋体" w:hAnsi="宋体"/>
          <w:szCs w:val="21"/>
        </w:rPr>
        <w:t>（2）除本谈判采购文件另有规定，联合体各方中至少有一方应当符合本谈判采购文件规定的投标人特定资格条件；联合体中有同类资质的投标人应按照资质等级较低的投标人确定资质等级；</w:t>
      </w:r>
    </w:p>
    <w:p>
      <w:pPr>
        <w:spacing w:line="360" w:lineRule="exact"/>
        <w:ind w:firstLine="420" w:firstLineChars="200"/>
        <w:rPr>
          <w:rFonts w:ascii="宋体" w:hAnsi="宋体"/>
          <w:szCs w:val="21"/>
        </w:rPr>
      </w:pPr>
      <w:r>
        <w:rPr>
          <w:rFonts w:hint="eastAsia" w:ascii="宋体" w:hAnsi="宋体"/>
          <w:szCs w:val="21"/>
        </w:rPr>
        <w:t>（3）联合体各方不得再单独或与其他供应商组成新的联合体参加同一项目的采购活动；</w:t>
      </w:r>
    </w:p>
    <w:p>
      <w:pPr>
        <w:spacing w:line="360" w:lineRule="exact"/>
        <w:ind w:firstLine="420" w:firstLineChars="200"/>
        <w:rPr>
          <w:rFonts w:ascii="宋体" w:hAnsi="宋体"/>
          <w:szCs w:val="21"/>
        </w:rPr>
      </w:pPr>
      <w:r>
        <w:rPr>
          <w:rFonts w:hint="eastAsia" w:ascii="宋体" w:hAnsi="宋体"/>
          <w:szCs w:val="21"/>
        </w:rPr>
        <w:t>（4）联合体的业绩和信誉按联合体主体方（或牵头方）计算。</w:t>
      </w:r>
    </w:p>
    <w:p>
      <w:pPr>
        <w:spacing w:line="360" w:lineRule="exact"/>
        <w:ind w:firstLine="420" w:firstLineChars="200"/>
        <w:rPr>
          <w:rFonts w:ascii="宋体" w:hAnsi="宋体"/>
          <w:szCs w:val="21"/>
        </w:rPr>
      </w:pPr>
      <w:bookmarkStart w:id="16" w:name="_Toc32649_WPSOffice_Level3"/>
      <w:r>
        <w:rPr>
          <w:rFonts w:hint="eastAsia" w:ascii="宋体" w:hAnsi="宋体"/>
          <w:szCs w:val="21"/>
        </w:rPr>
        <w:t>4. 谈判费用</w:t>
      </w:r>
      <w:bookmarkEnd w:id="16"/>
    </w:p>
    <w:p>
      <w:pPr>
        <w:spacing w:line="360" w:lineRule="exact"/>
        <w:ind w:firstLine="420" w:firstLineChars="200"/>
        <w:rPr>
          <w:rFonts w:ascii="宋体" w:hAnsi="宋体"/>
          <w:szCs w:val="21"/>
        </w:rPr>
      </w:pPr>
      <w:r>
        <w:rPr>
          <w:rFonts w:hint="eastAsia" w:ascii="宋体" w:hAnsi="宋体"/>
          <w:szCs w:val="21"/>
        </w:rPr>
        <w:t>4.1 供应商应自行承担所有与编写和提交响应文件有关的费用，不论谈判结果如何，采购人在任何情况下无义务和责任承担此类费用。</w:t>
      </w:r>
    </w:p>
    <w:p>
      <w:pPr>
        <w:spacing w:line="360" w:lineRule="exact"/>
        <w:ind w:firstLine="420" w:firstLineChars="200"/>
        <w:rPr>
          <w:rFonts w:ascii="宋体" w:hAnsi="宋体"/>
          <w:szCs w:val="21"/>
        </w:rPr>
      </w:pPr>
      <w:r>
        <w:rPr>
          <w:rFonts w:hint="eastAsia" w:ascii="宋体" w:hAnsi="宋体"/>
          <w:szCs w:val="21"/>
        </w:rPr>
        <w:t>4.2本项目代理服务费具体见</w:t>
      </w:r>
      <w:r>
        <w:rPr>
          <w:rFonts w:hint="eastAsia" w:ascii="宋体" w:hAnsi="宋体"/>
          <w:b/>
          <w:szCs w:val="21"/>
        </w:rPr>
        <w:t>“供应商须知前附表”</w:t>
      </w:r>
      <w:r>
        <w:rPr>
          <w:rFonts w:hint="eastAsia" w:ascii="宋体" w:hAnsi="宋体"/>
          <w:szCs w:val="21"/>
        </w:rPr>
        <w:t>。</w:t>
      </w:r>
    </w:p>
    <w:p>
      <w:pPr>
        <w:spacing w:line="360" w:lineRule="exact"/>
        <w:ind w:firstLine="422" w:firstLineChars="200"/>
        <w:rPr>
          <w:rFonts w:ascii="宋体" w:hAnsi="宋体"/>
          <w:b/>
          <w:szCs w:val="21"/>
        </w:rPr>
      </w:pPr>
      <w:bookmarkStart w:id="17" w:name="_Toc18660_WPSOffice_Level2"/>
      <w:r>
        <w:rPr>
          <w:rFonts w:hint="eastAsia" w:ascii="宋体" w:hAnsi="宋体"/>
          <w:b/>
          <w:szCs w:val="21"/>
        </w:rPr>
        <w:t>二、响应文件的编制</w:t>
      </w:r>
      <w:bookmarkEnd w:id="17"/>
    </w:p>
    <w:p>
      <w:pPr>
        <w:spacing w:line="360" w:lineRule="exact"/>
        <w:ind w:firstLine="420" w:firstLineChars="200"/>
        <w:rPr>
          <w:rFonts w:ascii="宋体" w:hAnsi="宋体"/>
          <w:szCs w:val="21"/>
        </w:rPr>
      </w:pPr>
      <w:bookmarkStart w:id="18" w:name="_Toc18660_WPSOffice_Level3"/>
      <w:r>
        <w:rPr>
          <w:rFonts w:hint="eastAsia" w:ascii="宋体" w:hAnsi="宋体"/>
          <w:szCs w:val="21"/>
        </w:rPr>
        <w:t>5. 响应文件编制基本要求</w:t>
      </w:r>
      <w:bookmarkEnd w:id="18"/>
    </w:p>
    <w:p>
      <w:pPr>
        <w:spacing w:line="360" w:lineRule="exact"/>
        <w:ind w:left="420" w:leftChars="200" w:firstLine="0" w:firstLineChars="0"/>
        <w:rPr>
          <w:rFonts w:ascii="宋体" w:hAnsi="宋体"/>
          <w:szCs w:val="21"/>
        </w:rPr>
      </w:pPr>
      <w:r>
        <w:rPr>
          <w:rFonts w:hint="eastAsia" w:ascii="宋体" w:hAnsi="宋体"/>
          <w:szCs w:val="21"/>
        </w:rPr>
        <w:t>5.1供应商对响应文件的编制应按要求装订和封装。</w:t>
      </w:r>
    </w:p>
    <w:p>
      <w:pPr>
        <w:spacing w:line="360" w:lineRule="exact"/>
        <w:ind w:firstLine="420" w:firstLineChars="200"/>
        <w:rPr>
          <w:rFonts w:ascii="宋体" w:hAnsi="宋体"/>
          <w:szCs w:val="21"/>
        </w:rPr>
      </w:pPr>
      <w:r>
        <w:rPr>
          <w:rFonts w:hint="eastAsia" w:ascii="宋体" w:hAnsi="宋体"/>
          <w:szCs w:val="21"/>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360" w:lineRule="exact"/>
        <w:ind w:firstLine="420" w:firstLineChars="200"/>
        <w:rPr>
          <w:rFonts w:ascii="宋体" w:hAnsi="宋体"/>
          <w:szCs w:val="21"/>
        </w:rPr>
      </w:pPr>
      <w:r>
        <w:rPr>
          <w:rFonts w:hint="eastAsia" w:ascii="宋体" w:hAnsi="宋体"/>
          <w:szCs w:val="21"/>
        </w:rPr>
        <w:t>5.3供应商应认真阅读、并充分理解本文件的全部内容（包括所有的补充、修改内容），承诺并履行本文件中各项条款规定及要求。</w:t>
      </w:r>
    </w:p>
    <w:p>
      <w:pPr>
        <w:spacing w:line="360" w:lineRule="exact"/>
        <w:ind w:left="420" w:leftChars="200" w:firstLine="0" w:firstLineChars="0"/>
        <w:rPr>
          <w:rFonts w:ascii="宋体" w:hAnsi="宋体"/>
          <w:szCs w:val="21"/>
        </w:rPr>
      </w:pPr>
      <w:r>
        <w:rPr>
          <w:rFonts w:hint="eastAsia" w:ascii="宋体" w:hAnsi="宋体"/>
          <w:szCs w:val="21"/>
        </w:rPr>
        <w:t>5.4响应文件必须按本文件的全部内容，包括所有的补充通知及附件进行编制。</w:t>
      </w:r>
    </w:p>
    <w:p>
      <w:pPr>
        <w:spacing w:line="360" w:lineRule="exact"/>
        <w:ind w:firstLine="420" w:firstLineChars="200"/>
        <w:rPr>
          <w:rFonts w:ascii="宋体" w:hAnsi="宋体"/>
          <w:szCs w:val="21"/>
        </w:rPr>
      </w:pPr>
      <w:r>
        <w:rPr>
          <w:rFonts w:hint="eastAsia" w:ascii="宋体" w:hAnsi="宋体"/>
          <w:szCs w:val="21"/>
        </w:rPr>
        <w:t>5.5如因供应商只填写和提供了本文件要求的部分内容和附件，而给评审造成困难，其可能导致的结果和责任由供应商自行承担。</w:t>
      </w:r>
    </w:p>
    <w:p>
      <w:pPr>
        <w:spacing w:line="360" w:lineRule="exact"/>
        <w:ind w:firstLine="422" w:firstLineChars="200"/>
        <w:rPr>
          <w:rFonts w:ascii="宋体" w:hAnsi="宋体"/>
          <w:b/>
          <w:szCs w:val="21"/>
        </w:rPr>
      </w:pPr>
      <w:r>
        <w:rPr>
          <w:rFonts w:hint="eastAsia" w:ascii="宋体" w:hAnsi="宋体"/>
          <w:b/>
          <w:szCs w:val="21"/>
        </w:rPr>
        <w:t>5.6响应文件的组成。</w:t>
      </w:r>
    </w:p>
    <w:p>
      <w:pPr>
        <w:spacing w:line="360" w:lineRule="exact"/>
        <w:ind w:firstLine="420" w:firstLineChars="200"/>
        <w:rPr>
          <w:rFonts w:ascii="宋体" w:hAnsi="宋体"/>
          <w:szCs w:val="21"/>
        </w:rPr>
      </w:pPr>
      <w:r>
        <w:rPr>
          <w:rFonts w:hint="eastAsia" w:ascii="宋体" w:hAnsi="宋体"/>
          <w:szCs w:val="21"/>
        </w:rPr>
        <w:t>响应文件应分为价格文件和商务技术文件两个部分组成。</w:t>
      </w:r>
      <w:r>
        <w:rPr>
          <w:rFonts w:hint="eastAsia" w:ascii="宋体" w:hAnsi="宋体"/>
          <w:b/>
          <w:szCs w:val="21"/>
        </w:rPr>
        <w:t>（下列文件均须加盖竞标单位公章；应该有的必须提供，如未提供，评审小组有权拒绝其响应文件）</w:t>
      </w:r>
    </w:p>
    <w:p>
      <w:pPr>
        <w:spacing w:line="360" w:lineRule="exact"/>
        <w:ind w:firstLine="420" w:firstLineChars="200"/>
        <w:rPr>
          <w:rFonts w:ascii="宋体" w:hAnsi="宋体"/>
          <w:szCs w:val="21"/>
        </w:rPr>
      </w:pPr>
      <w:r>
        <w:rPr>
          <w:rFonts w:hint="eastAsia" w:ascii="宋体" w:hAnsi="宋体"/>
          <w:szCs w:val="21"/>
        </w:rPr>
        <w:t>5.6.1价格文件</w:t>
      </w:r>
    </w:p>
    <w:p>
      <w:pPr>
        <w:spacing w:line="360" w:lineRule="exact"/>
        <w:ind w:firstLine="420" w:firstLineChars="200"/>
        <w:rPr>
          <w:rFonts w:ascii="宋体" w:hAnsi="宋体"/>
          <w:b/>
          <w:szCs w:val="21"/>
        </w:rPr>
      </w:pPr>
      <w:r>
        <w:rPr>
          <w:rFonts w:hint="eastAsia" w:ascii="宋体" w:hAnsi="宋体"/>
          <w:szCs w:val="21"/>
        </w:rPr>
        <w:t>（1）谈判书（格式见附件一）；</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（2）谈判报价表；（格式见附件二）</w:t>
      </w:r>
      <w:r>
        <w:rPr>
          <w:rFonts w:hint="eastAsia" w:ascii="宋体" w:hAnsi="宋体"/>
          <w:b/>
          <w:szCs w:val="21"/>
        </w:rPr>
        <w:t>（必须提供）</w:t>
      </w:r>
    </w:p>
    <w:p>
      <w:pPr>
        <w:spacing w:line="360" w:lineRule="exact"/>
        <w:ind w:firstLine="420" w:firstLineChars="200"/>
        <w:rPr>
          <w:rFonts w:ascii="宋体" w:hAnsi="宋体"/>
          <w:b/>
          <w:szCs w:val="21"/>
        </w:rPr>
      </w:pPr>
      <w:r>
        <w:rPr>
          <w:rFonts w:hint="eastAsia" w:ascii="宋体" w:hAnsi="宋体"/>
          <w:szCs w:val="21"/>
        </w:rPr>
        <w:t>5.6.2 商务技术文件</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）有效的新版“营业执照”副本或《事业单位法人证书》复印件</w:t>
      </w:r>
      <w:r>
        <w:rPr>
          <w:rFonts w:ascii="宋体" w:hAnsi="宋体"/>
          <w:szCs w:val="21"/>
        </w:rPr>
        <w:t>(</w:t>
      </w:r>
      <w:r>
        <w:rPr>
          <w:rFonts w:hint="eastAsia" w:ascii="宋体" w:hAnsi="宋体"/>
          <w:szCs w:val="21"/>
        </w:rPr>
        <w:t>经营范围包含本次采购服务）；</w:t>
      </w:r>
      <w:r>
        <w:rPr>
          <w:rFonts w:hint="eastAsia" w:ascii="宋体" w:hAnsi="宋体"/>
          <w:b/>
          <w:szCs w:val="21"/>
        </w:rPr>
        <w:t>（必须提供）</w:t>
      </w:r>
    </w:p>
    <w:p>
      <w:pPr>
        <w:spacing w:line="400" w:lineRule="exact"/>
        <w:ind w:firstLine="420" w:firstLineChars="200"/>
        <w:rPr>
          <w:rFonts w:ascii="宋体" w:hAnsi="宋体"/>
          <w:b/>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cs="Arial"/>
          <w:szCs w:val="21"/>
        </w:rPr>
        <w:t>全国爱国卫生运动委员会颁发的（1997）第5号文件规定的鼠、蚊、蝇、蟑螂控制标准</w:t>
      </w:r>
      <w:r>
        <w:rPr>
          <w:rFonts w:hint="eastAsia" w:ascii="宋体" w:hAnsi="宋体"/>
          <w:szCs w:val="21"/>
        </w:rPr>
        <w:t>；</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）法定代表人身份证明原件及法定代表人有效身份证正反面复印件（格式见附件</w:t>
      </w:r>
      <w:r>
        <w:rPr>
          <w:rFonts w:hint="eastAsia" w:ascii="宋体" w:hAnsi="宋体"/>
          <w:szCs w:val="21"/>
          <w:lang w:val="en-US" w:eastAsia="zh-CN"/>
        </w:rPr>
        <w:t>六</w:t>
      </w:r>
      <w:r>
        <w:rPr>
          <w:rFonts w:hint="eastAsia" w:ascii="宋体" w:hAnsi="宋体"/>
          <w:szCs w:val="21"/>
        </w:rPr>
        <w:t>）；</w:t>
      </w:r>
      <w:r>
        <w:rPr>
          <w:rFonts w:hint="eastAsia" w:ascii="宋体" w:hAnsi="宋体"/>
          <w:b/>
          <w:szCs w:val="21"/>
        </w:rPr>
        <w:t>（必须提供）</w:t>
      </w:r>
    </w:p>
    <w:p>
      <w:pPr>
        <w:spacing w:line="360" w:lineRule="exact"/>
        <w:ind w:firstLine="420" w:firstLineChars="200"/>
        <w:rPr>
          <w:rFonts w:ascii="宋体" w:hAnsi="宋体"/>
          <w:b/>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）法定代表人授权委托书原件及被授权人有效身份证正反面复印件（格式见附件</w:t>
      </w:r>
      <w:r>
        <w:rPr>
          <w:rFonts w:hint="eastAsia" w:ascii="宋体" w:hAnsi="宋体"/>
          <w:szCs w:val="21"/>
          <w:lang w:val="en-US" w:eastAsia="zh-CN"/>
        </w:rPr>
        <w:t>六</w:t>
      </w:r>
      <w:r>
        <w:rPr>
          <w:rFonts w:hint="eastAsia" w:ascii="宋体" w:hAnsi="宋体"/>
          <w:szCs w:val="21"/>
        </w:rPr>
        <w:t>）；</w:t>
      </w:r>
      <w:r>
        <w:rPr>
          <w:rFonts w:hint="eastAsia" w:ascii="宋体" w:hAnsi="宋体"/>
          <w:b/>
          <w:szCs w:val="21"/>
        </w:rPr>
        <w:t>[委托代理时必须提供，同时须提供第（</w:t>
      </w:r>
      <w:r>
        <w:rPr>
          <w:rFonts w:hint="eastAsia" w:ascii="宋体" w:hAnsi="宋体"/>
          <w:b/>
          <w:szCs w:val="21"/>
          <w:lang w:val="en-US" w:eastAsia="zh-CN"/>
        </w:rPr>
        <w:t>3</w:t>
      </w:r>
      <w:r>
        <w:rPr>
          <w:rFonts w:hint="eastAsia" w:ascii="宋体" w:hAnsi="宋体"/>
          <w:b/>
          <w:szCs w:val="21"/>
        </w:rPr>
        <w:t>）项]</w:t>
      </w:r>
    </w:p>
    <w:p>
      <w:pPr>
        <w:spacing w:line="360" w:lineRule="exact"/>
        <w:ind w:firstLine="420" w:firstLineChars="200"/>
        <w:rPr>
          <w:rFonts w:ascii="宋体" w:hAnsi="宋体"/>
          <w:b/>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）联合体竞标协议书（正本用原件，副本可用复印件）（格式见附件六）；</w:t>
      </w:r>
      <w:r>
        <w:rPr>
          <w:rFonts w:hint="eastAsia" w:ascii="宋体" w:hAnsi="宋体"/>
          <w:b/>
          <w:szCs w:val="21"/>
        </w:rPr>
        <w:t>[联合体投标时必须提供（若本项目不接受联合体投标的此项不适用）]</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）参加采购活动前三年内在经营活动中没有重大违法记录的书面声明（格式见附件七）；</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）服务响应偏离情况说明表（格式见附件三）</w:t>
      </w:r>
      <w:r>
        <w:rPr>
          <w:rFonts w:hint="eastAsia" w:ascii="宋体" w:hAnsi="宋体"/>
          <w:szCs w:val="21"/>
          <w:lang w:eastAsia="zh-CN"/>
        </w:rPr>
        <w:t>、</w:t>
      </w:r>
      <w:r>
        <w:rPr>
          <w:rFonts w:hint="eastAsia" w:ascii="宋体" w:hAnsi="宋体"/>
          <w:szCs w:val="21"/>
          <w:lang w:val="en-US" w:eastAsia="zh-CN"/>
        </w:rPr>
        <w:t>商务条款偏离表（格式见附件四）</w:t>
      </w:r>
      <w:r>
        <w:rPr>
          <w:rFonts w:hint="eastAsia" w:ascii="宋体" w:hAnsi="宋体"/>
          <w:szCs w:val="21"/>
        </w:rPr>
        <w:t>；</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）投入设备响应表（格式见附件</w:t>
      </w:r>
      <w:r>
        <w:rPr>
          <w:rFonts w:hint="eastAsia" w:ascii="宋体" w:hAnsi="宋体"/>
          <w:szCs w:val="21"/>
          <w:lang w:val="en-US" w:eastAsia="zh-CN"/>
        </w:rPr>
        <w:t>五</w:t>
      </w:r>
      <w:r>
        <w:rPr>
          <w:rFonts w:hint="eastAsia" w:ascii="宋体" w:hAnsi="宋体"/>
          <w:szCs w:val="21"/>
        </w:rPr>
        <w:t>）</w:t>
      </w:r>
      <w:r>
        <w:rPr>
          <w:rFonts w:hint="eastAsia" w:ascii="宋体" w:hAnsi="宋体"/>
          <w:szCs w:val="21"/>
          <w:lang w:eastAsia="zh-CN"/>
        </w:rPr>
        <w:t>如有请提供</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）服务承诺（请结合第三章“项目需求”自行编写）；</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）项目实施人员一览表（格式自拟）；</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11</w:t>
      </w:r>
      <w:r>
        <w:rPr>
          <w:rFonts w:hint="eastAsia" w:ascii="宋体" w:hAnsi="宋体"/>
          <w:szCs w:val="21"/>
        </w:rPr>
        <w:t>）优惠条件：供应商承诺给予采购人的各种优惠条件，包括服务、备品备件、专用耗材等方面的优惠(格式自拟)</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）质量保证措施；</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）国家有强制性要求的应按国家规定执行，并提供相关证明材料；</w:t>
      </w:r>
    </w:p>
    <w:p>
      <w:pPr>
        <w:spacing w:line="360" w:lineRule="exact"/>
        <w:ind w:firstLine="424" w:firstLineChars="202"/>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）供应商认为需要提供的有关资料。</w:t>
      </w:r>
    </w:p>
    <w:p>
      <w:pPr>
        <w:spacing w:line="360" w:lineRule="exact"/>
        <w:ind w:firstLine="420" w:firstLineChars="200"/>
        <w:rPr>
          <w:rFonts w:ascii="宋体" w:hAnsi="宋体"/>
          <w:szCs w:val="21"/>
        </w:rPr>
      </w:pPr>
      <w:bookmarkStart w:id="19" w:name="_Toc9306_WPSOffice_Level3"/>
      <w:r>
        <w:rPr>
          <w:rFonts w:hint="eastAsia" w:ascii="宋体" w:hAnsi="宋体"/>
          <w:szCs w:val="21"/>
        </w:rPr>
        <w:t>6. 计量单位</w:t>
      </w:r>
      <w:bookmarkEnd w:id="19"/>
    </w:p>
    <w:p>
      <w:pPr>
        <w:spacing w:line="360" w:lineRule="exact"/>
        <w:ind w:left="420" w:leftChars="200" w:firstLine="0" w:firstLineChars="0"/>
        <w:rPr>
          <w:rFonts w:ascii="宋体" w:hAnsi="宋体"/>
          <w:szCs w:val="21"/>
        </w:rPr>
      </w:pPr>
      <w:r>
        <w:rPr>
          <w:rFonts w:hint="eastAsia" w:ascii="宋体" w:hAnsi="宋体"/>
          <w:szCs w:val="21"/>
        </w:rPr>
        <w:t>6.1除技术要求中另有规定外，本文件所要求使用的计量单位均应采用国家法定计量单位。</w:t>
      </w:r>
    </w:p>
    <w:p>
      <w:pPr>
        <w:spacing w:line="360" w:lineRule="exact"/>
        <w:ind w:left="420" w:leftChars="200" w:firstLine="0" w:firstLineChars="0"/>
        <w:rPr>
          <w:rFonts w:ascii="宋体" w:hAnsi="宋体"/>
          <w:szCs w:val="21"/>
        </w:rPr>
      </w:pPr>
      <w:bookmarkStart w:id="20" w:name="_Toc31637_WPSOffice_Level3"/>
      <w:r>
        <w:rPr>
          <w:rFonts w:hint="eastAsia" w:ascii="宋体" w:hAnsi="宋体"/>
          <w:szCs w:val="21"/>
        </w:rPr>
        <w:t>7.响应文件有效期</w:t>
      </w:r>
      <w:bookmarkEnd w:id="20"/>
    </w:p>
    <w:p>
      <w:pPr>
        <w:spacing w:line="360" w:lineRule="exact"/>
        <w:ind w:left="420" w:leftChars="200" w:firstLine="0" w:firstLineChars="0"/>
        <w:rPr>
          <w:rFonts w:ascii="宋体" w:hAnsi="宋体"/>
          <w:szCs w:val="21"/>
        </w:rPr>
      </w:pPr>
      <w:r>
        <w:rPr>
          <w:rFonts w:hint="eastAsia" w:ascii="宋体" w:hAnsi="宋体"/>
          <w:szCs w:val="21"/>
        </w:rPr>
        <w:t>7.1响应文件有效期按须知前附表规定的期限，有效期不足的响应文件按无效处理。</w:t>
      </w:r>
    </w:p>
    <w:p>
      <w:pPr>
        <w:spacing w:line="360" w:lineRule="exact"/>
        <w:ind w:left="420" w:leftChars="200" w:firstLine="0" w:firstLineChars="0"/>
        <w:rPr>
          <w:rFonts w:ascii="宋体" w:hAnsi="宋体"/>
          <w:szCs w:val="21"/>
        </w:rPr>
      </w:pPr>
      <w:r>
        <w:rPr>
          <w:rFonts w:hint="eastAsia" w:ascii="宋体" w:hAnsi="宋体"/>
          <w:szCs w:val="21"/>
        </w:rPr>
        <w:t>7.2未成交的响应文件有效期内均应保持有效。</w:t>
      </w:r>
    </w:p>
    <w:p>
      <w:pPr>
        <w:spacing w:line="360" w:lineRule="exact"/>
        <w:ind w:left="420" w:leftChars="200" w:firstLine="0" w:firstLineChars="0"/>
        <w:rPr>
          <w:rFonts w:ascii="宋体" w:hAnsi="宋体"/>
          <w:szCs w:val="21"/>
        </w:rPr>
      </w:pPr>
      <w:r>
        <w:rPr>
          <w:rFonts w:hint="eastAsia" w:ascii="宋体" w:hAnsi="宋体"/>
          <w:szCs w:val="21"/>
        </w:rPr>
        <w:t>7.3成交供应商的响应文件自响应文件递交截止之日起至合同履行完毕止均应保持有效。</w:t>
      </w:r>
    </w:p>
    <w:p>
      <w:pPr>
        <w:spacing w:line="360" w:lineRule="exact"/>
        <w:ind w:left="420" w:leftChars="200" w:firstLine="0" w:firstLineChars="0"/>
        <w:rPr>
          <w:rFonts w:ascii="宋体" w:hAnsi="宋体"/>
          <w:szCs w:val="21"/>
        </w:rPr>
      </w:pPr>
      <w:bookmarkStart w:id="21" w:name="_Toc18558_WPSOffice_Level3"/>
      <w:r>
        <w:rPr>
          <w:rFonts w:hint="eastAsia" w:ascii="宋体" w:hAnsi="宋体"/>
          <w:szCs w:val="21"/>
        </w:rPr>
        <w:t>8.竞标保证金</w:t>
      </w:r>
      <w:bookmarkEnd w:id="21"/>
    </w:p>
    <w:p>
      <w:pPr>
        <w:spacing w:line="360" w:lineRule="exact"/>
        <w:ind w:left="420" w:leftChars="200" w:firstLine="0" w:firstLineChars="0"/>
        <w:rPr>
          <w:rFonts w:ascii="宋体" w:hAnsi="宋体"/>
          <w:szCs w:val="21"/>
        </w:rPr>
      </w:pPr>
      <w:r>
        <w:rPr>
          <w:rFonts w:hint="eastAsia" w:ascii="宋体" w:hAnsi="宋体"/>
          <w:szCs w:val="21"/>
        </w:rPr>
        <w:t>8.1供应商必须按须知前附表的规定交纳竞标保证金，否则，其响应文件按无效响应处理。</w:t>
      </w:r>
    </w:p>
    <w:p>
      <w:pPr>
        <w:spacing w:line="360" w:lineRule="exact"/>
        <w:ind w:left="420" w:leftChars="200" w:firstLine="0" w:firstLineChars="0"/>
        <w:rPr>
          <w:rFonts w:ascii="宋体" w:hAnsi="宋体"/>
          <w:szCs w:val="21"/>
        </w:rPr>
      </w:pPr>
      <w:r>
        <w:rPr>
          <w:rFonts w:hint="eastAsia" w:ascii="宋体" w:hAnsi="宋体"/>
          <w:szCs w:val="21"/>
        </w:rPr>
        <w:t>8.2竞标保证金交纳方式：按须知前附表的规定。</w:t>
      </w:r>
    </w:p>
    <w:p>
      <w:pPr>
        <w:spacing w:line="360" w:lineRule="exact"/>
        <w:ind w:left="420" w:leftChars="200" w:firstLine="0" w:firstLineChars="0"/>
        <w:rPr>
          <w:rFonts w:ascii="宋体" w:hAnsi="宋体"/>
          <w:szCs w:val="21"/>
        </w:rPr>
      </w:pPr>
      <w:r>
        <w:rPr>
          <w:rFonts w:hint="eastAsia" w:ascii="宋体" w:hAnsi="宋体"/>
          <w:szCs w:val="21"/>
        </w:rPr>
        <w:t>8.3竞标保证金交纳截止时间：按须知前附表的规定。</w:t>
      </w:r>
    </w:p>
    <w:p>
      <w:pPr>
        <w:spacing w:line="360" w:lineRule="exact"/>
        <w:ind w:left="420" w:leftChars="200" w:firstLine="0" w:firstLineChars="0"/>
        <w:rPr>
          <w:rFonts w:ascii="宋体" w:hAnsi="宋体"/>
          <w:szCs w:val="21"/>
        </w:rPr>
      </w:pPr>
      <w:r>
        <w:rPr>
          <w:rFonts w:hint="eastAsia" w:ascii="宋体" w:hAnsi="宋体"/>
          <w:szCs w:val="21"/>
        </w:rPr>
        <w:t>8.4竞标保证金的退还均以转账形式退回到供应商银行账户。</w:t>
      </w:r>
    </w:p>
    <w:p>
      <w:pPr>
        <w:spacing w:line="360" w:lineRule="exact"/>
        <w:ind w:left="420" w:leftChars="200" w:firstLine="0" w:firstLineChars="0"/>
        <w:rPr>
          <w:rFonts w:ascii="宋体" w:hAnsi="宋体"/>
          <w:szCs w:val="21"/>
        </w:rPr>
      </w:pPr>
      <w:r>
        <w:rPr>
          <w:rFonts w:hint="eastAsia" w:ascii="宋体" w:hAnsi="宋体"/>
          <w:szCs w:val="21"/>
        </w:rPr>
        <w:t>8.5.1未成交供应商的竞标保证金在成交通知书发出后五个工作日内退还。</w:t>
      </w:r>
    </w:p>
    <w:p>
      <w:pPr>
        <w:spacing w:line="360" w:lineRule="exact"/>
        <w:ind w:firstLine="420" w:firstLineChars="200"/>
        <w:rPr>
          <w:rFonts w:ascii="宋体" w:hAnsi="宋体"/>
          <w:szCs w:val="21"/>
        </w:rPr>
      </w:pPr>
      <w:r>
        <w:rPr>
          <w:rFonts w:hint="eastAsia" w:ascii="宋体" w:hAnsi="宋体"/>
          <w:szCs w:val="21"/>
        </w:rPr>
        <w:t>8.5.2成交供应商的竞标保证金在成交供应商与采购人签订合同并送合同给代理机构存档后五个工作日内退还。</w:t>
      </w:r>
    </w:p>
    <w:p>
      <w:pPr>
        <w:spacing w:line="360" w:lineRule="exact"/>
        <w:ind w:left="420" w:leftChars="200" w:firstLine="0" w:firstLineChars="0"/>
        <w:rPr>
          <w:rFonts w:hint="eastAsia" w:ascii="宋体" w:hAnsi="宋体"/>
          <w:szCs w:val="21"/>
        </w:rPr>
      </w:pPr>
      <w:r>
        <w:rPr>
          <w:rFonts w:hint="eastAsia" w:ascii="宋体" w:hAnsi="宋体"/>
          <w:szCs w:val="21"/>
        </w:rPr>
        <w:t>8.6供应商有下列情形之一的，竞标保证金将不予退还：</w:t>
      </w:r>
    </w:p>
    <w:p>
      <w:pPr>
        <w:spacing w:line="360" w:lineRule="exact"/>
        <w:ind w:left="420" w:leftChars="200" w:firstLine="0" w:firstLineChars="0"/>
        <w:rPr>
          <w:rFonts w:ascii="宋体" w:hAnsi="宋体"/>
          <w:szCs w:val="21"/>
        </w:rPr>
      </w:pPr>
      <w:r>
        <w:rPr>
          <w:rFonts w:hint="eastAsia" w:ascii="宋体" w:hAnsi="宋体"/>
          <w:szCs w:val="21"/>
        </w:rPr>
        <w:t>（1）供应商在提交响应文件截止时间后撤回响应文件的；</w:t>
      </w:r>
    </w:p>
    <w:p>
      <w:pPr>
        <w:spacing w:line="360" w:lineRule="exact"/>
        <w:ind w:left="420" w:leftChars="200" w:firstLine="0" w:firstLineChars="0"/>
        <w:rPr>
          <w:rFonts w:ascii="宋体" w:hAnsi="宋体"/>
          <w:szCs w:val="21"/>
        </w:rPr>
      </w:pPr>
      <w:r>
        <w:rPr>
          <w:rFonts w:hint="eastAsia" w:ascii="宋体" w:hAnsi="宋体"/>
          <w:szCs w:val="21"/>
        </w:rPr>
        <w:t>（2）供应商在响应文件中提供虚假材料的；</w:t>
      </w:r>
    </w:p>
    <w:p>
      <w:pPr>
        <w:spacing w:line="360" w:lineRule="exact"/>
        <w:ind w:left="420" w:leftChars="200" w:firstLine="0" w:firstLineChars="0"/>
        <w:rPr>
          <w:rFonts w:ascii="宋体" w:hAnsi="宋体"/>
          <w:szCs w:val="21"/>
        </w:rPr>
      </w:pPr>
      <w:r>
        <w:rPr>
          <w:rFonts w:hint="eastAsia" w:ascii="宋体" w:hAnsi="宋体"/>
          <w:szCs w:val="21"/>
        </w:rPr>
        <w:t>（3）除因不可抗力或谈判采购文件认可的情形以外，成交供应商不与采购人签订合同的；</w:t>
      </w:r>
    </w:p>
    <w:p>
      <w:pPr>
        <w:spacing w:line="360" w:lineRule="exact"/>
        <w:ind w:left="420" w:leftChars="200" w:firstLine="0" w:firstLineChars="0"/>
        <w:rPr>
          <w:rFonts w:ascii="宋体" w:hAnsi="宋体"/>
          <w:szCs w:val="21"/>
        </w:rPr>
      </w:pPr>
      <w:r>
        <w:rPr>
          <w:rFonts w:hint="eastAsia" w:ascii="宋体" w:hAnsi="宋体"/>
          <w:szCs w:val="21"/>
        </w:rPr>
        <w:t>（4）供应商与采购人、其他供应商恶意串通的；</w:t>
      </w:r>
    </w:p>
    <w:p>
      <w:pPr>
        <w:spacing w:line="360" w:lineRule="exact"/>
        <w:ind w:firstLine="420" w:firstLineChars="200"/>
        <w:rPr>
          <w:rFonts w:ascii="宋体" w:hAnsi="宋体"/>
          <w:b/>
          <w:szCs w:val="21"/>
        </w:rPr>
      </w:pPr>
      <w:r>
        <w:rPr>
          <w:rFonts w:hint="eastAsia" w:ascii="宋体" w:hAnsi="宋体"/>
          <w:szCs w:val="21"/>
        </w:rPr>
        <w:t>（5）谈判采购文件规定的其他情形。</w:t>
      </w:r>
    </w:p>
    <w:p>
      <w:pPr>
        <w:spacing w:line="360" w:lineRule="exact"/>
        <w:ind w:firstLine="422" w:firstLineChars="200"/>
        <w:rPr>
          <w:rFonts w:ascii="宋体" w:hAnsi="宋体"/>
          <w:b/>
          <w:szCs w:val="21"/>
        </w:rPr>
      </w:pPr>
      <w:bookmarkStart w:id="22" w:name="_Toc9306_WPSOffice_Level2"/>
      <w:r>
        <w:rPr>
          <w:rFonts w:hint="eastAsia" w:ascii="宋体" w:hAnsi="宋体"/>
          <w:b/>
          <w:szCs w:val="21"/>
        </w:rPr>
        <w:t>三、谈判报价要求</w:t>
      </w:r>
      <w:bookmarkEnd w:id="22"/>
    </w:p>
    <w:p>
      <w:pPr>
        <w:spacing w:line="360" w:lineRule="exact"/>
        <w:ind w:firstLine="420" w:firstLineChars="200"/>
        <w:rPr>
          <w:rFonts w:ascii="宋体" w:hAnsi="宋体"/>
          <w:szCs w:val="21"/>
        </w:rPr>
      </w:pPr>
      <w:r>
        <w:rPr>
          <w:rFonts w:hint="eastAsia" w:ascii="宋体" w:hAnsi="宋体"/>
          <w:szCs w:val="21"/>
        </w:rPr>
        <w:t>9.1供应商必须就所投项目的全部内容作完整唯一报价，漏项报价的或有选择的或有条件的报价，其竞标将视为无效。</w:t>
      </w:r>
    </w:p>
    <w:p>
      <w:pPr>
        <w:spacing w:line="360" w:lineRule="exact"/>
        <w:ind w:firstLine="420" w:firstLineChars="200"/>
        <w:rPr>
          <w:rFonts w:ascii="宋体" w:hAnsi="宋体"/>
          <w:szCs w:val="21"/>
        </w:rPr>
      </w:pPr>
      <w:r>
        <w:rPr>
          <w:rFonts w:hint="eastAsia" w:ascii="宋体" w:hAnsi="宋体"/>
          <w:szCs w:val="21"/>
        </w:rPr>
        <w:t>9.2对于本文件中未列明，而供应商认为必需的费用也需列入总报价。在合同实施时，采购人将不予支付成交供应商没有列入的项目费用，并认为此项目的费用已包括在总报价中。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leftChars="200" w:firstLine="0" w:firstLineChars="0"/>
        <w:rPr>
          <w:rFonts w:ascii="宋体" w:hAnsi="宋体"/>
          <w:szCs w:val="21"/>
        </w:rPr>
      </w:pPr>
      <w:r>
        <w:rPr>
          <w:rFonts w:hint="eastAsia" w:ascii="宋体" w:hAnsi="宋体"/>
          <w:szCs w:val="21"/>
        </w:rPr>
        <w:t>9.3成交供应商负责本项目所需货物的制造、运输、售后服务等全部工作。</w:t>
      </w:r>
    </w:p>
    <w:p>
      <w:pPr>
        <w:spacing w:line="360" w:lineRule="exact"/>
        <w:ind w:firstLine="422" w:firstLineChars="200"/>
        <w:rPr>
          <w:rFonts w:ascii="宋体" w:hAnsi="宋体"/>
          <w:b/>
          <w:szCs w:val="21"/>
        </w:rPr>
      </w:pPr>
      <w:bookmarkStart w:id="23" w:name="_Toc31637_WPSOffice_Level2"/>
      <w:r>
        <w:rPr>
          <w:rFonts w:hint="eastAsia" w:ascii="宋体" w:hAnsi="宋体"/>
          <w:b/>
          <w:szCs w:val="21"/>
        </w:rPr>
        <w:t>四、响应文件的份数、封装和递交</w:t>
      </w:r>
      <w:bookmarkEnd w:id="23"/>
    </w:p>
    <w:p>
      <w:pPr>
        <w:spacing w:line="360" w:lineRule="exact"/>
        <w:ind w:left="420" w:leftChars="200" w:firstLine="0" w:firstLineChars="0"/>
        <w:rPr>
          <w:rFonts w:ascii="宋体" w:hAnsi="宋体"/>
          <w:szCs w:val="21"/>
        </w:rPr>
      </w:pPr>
      <w:bookmarkStart w:id="24" w:name="_Toc31657_WPSOffice_Level3"/>
      <w:r>
        <w:rPr>
          <w:rFonts w:hint="eastAsia" w:ascii="宋体" w:hAnsi="宋体"/>
          <w:szCs w:val="21"/>
        </w:rPr>
        <w:t>10. 谈判响应文件的份数和封装</w:t>
      </w:r>
      <w:bookmarkEnd w:id="24"/>
    </w:p>
    <w:p>
      <w:pPr>
        <w:spacing w:line="360" w:lineRule="exact"/>
        <w:ind w:firstLine="420" w:firstLineChars="200"/>
        <w:rPr>
          <w:rFonts w:ascii="宋体" w:hAnsi="宋体"/>
          <w:szCs w:val="21"/>
        </w:rPr>
      </w:pPr>
      <w:r>
        <w:rPr>
          <w:rFonts w:hint="eastAsia" w:ascii="宋体" w:hAnsi="宋体"/>
          <w:szCs w:val="21"/>
        </w:rPr>
        <w:t>10.1供应商应将响应文件中“价格文件”和“商务技术文件”单独封装，即：“价格文件”正本一份，副本</w:t>
      </w:r>
      <w:r>
        <w:rPr>
          <w:rFonts w:hint="eastAsia" w:ascii="宋体" w:hAnsi="宋体"/>
          <w:szCs w:val="21"/>
          <w:lang w:val="en-US" w:eastAsia="zh-CN"/>
        </w:rPr>
        <w:t>两</w:t>
      </w:r>
      <w:r>
        <w:rPr>
          <w:rFonts w:hint="eastAsia" w:ascii="宋体" w:hAnsi="宋体"/>
          <w:szCs w:val="21"/>
        </w:rPr>
        <w:t>份；“商务技术文件”正本一份，副本</w:t>
      </w:r>
      <w:r>
        <w:rPr>
          <w:rFonts w:hint="eastAsia" w:ascii="宋体" w:hAnsi="宋体"/>
          <w:szCs w:val="21"/>
          <w:lang w:eastAsia="zh-CN"/>
        </w:rPr>
        <w:t>两</w:t>
      </w:r>
      <w:r>
        <w:rPr>
          <w:rFonts w:hint="eastAsia" w:ascii="宋体" w:hAnsi="宋体"/>
          <w:szCs w:val="21"/>
        </w:rPr>
        <w:t>份。信封上标明“价格文件”，“商务技术文件”，然后再将所有信封封装在一个外层信封中。</w:t>
      </w:r>
    </w:p>
    <w:p>
      <w:pPr>
        <w:spacing w:line="360" w:lineRule="exact"/>
        <w:ind w:left="420" w:leftChars="200" w:firstLine="0" w:firstLineChars="0"/>
        <w:rPr>
          <w:rFonts w:ascii="宋体" w:hAnsi="宋体"/>
          <w:szCs w:val="21"/>
        </w:rPr>
      </w:pPr>
      <w:r>
        <w:rPr>
          <w:rFonts w:hint="eastAsia" w:ascii="宋体" w:hAnsi="宋体"/>
          <w:szCs w:val="21"/>
        </w:rPr>
        <w:t>10.2响应文件的信封上应写明：</w:t>
      </w:r>
    </w:p>
    <w:p>
      <w:pPr>
        <w:spacing w:line="360" w:lineRule="exact"/>
        <w:ind w:left="420"/>
        <w:rPr>
          <w:rFonts w:ascii="宋体" w:hAnsi="宋体"/>
          <w:szCs w:val="21"/>
        </w:rPr>
      </w:pPr>
      <w:r>
        <w:rPr>
          <w:rFonts w:hint="eastAsia" w:ascii="宋体" w:hAnsi="宋体"/>
          <w:szCs w:val="21"/>
        </w:rPr>
        <w:t>（1）项目编号；</w:t>
      </w:r>
    </w:p>
    <w:p>
      <w:pPr>
        <w:spacing w:line="360" w:lineRule="exact"/>
        <w:ind w:left="420"/>
        <w:rPr>
          <w:rFonts w:ascii="宋体" w:hAnsi="宋体"/>
          <w:szCs w:val="21"/>
        </w:rPr>
      </w:pPr>
      <w:r>
        <w:rPr>
          <w:rFonts w:hint="eastAsia" w:ascii="宋体" w:hAnsi="宋体"/>
          <w:szCs w:val="21"/>
        </w:rPr>
        <w:t>（2）项目名称；</w:t>
      </w:r>
    </w:p>
    <w:p>
      <w:pPr>
        <w:spacing w:line="360" w:lineRule="exact"/>
        <w:ind w:left="420"/>
        <w:rPr>
          <w:rFonts w:ascii="宋体" w:hAnsi="宋体"/>
          <w:szCs w:val="21"/>
        </w:rPr>
      </w:pPr>
      <w:r>
        <w:rPr>
          <w:rFonts w:hint="eastAsia" w:ascii="宋体" w:hAnsi="宋体"/>
          <w:szCs w:val="21"/>
        </w:rPr>
        <w:t>（3）供应商名称。</w:t>
      </w:r>
    </w:p>
    <w:p>
      <w:pPr>
        <w:spacing w:line="360" w:lineRule="exact"/>
        <w:ind w:firstLine="420" w:firstLineChars="200"/>
        <w:rPr>
          <w:rFonts w:ascii="宋体" w:hAnsi="宋体"/>
          <w:szCs w:val="21"/>
        </w:rPr>
      </w:pPr>
      <w:bookmarkStart w:id="25" w:name="_Toc8037_WPSOffice_Level3"/>
      <w:r>
        <w:rPr>
          <w:rFonts w:hint="eastAsia" w:ascii="宋体" w:hAnsi="宋体"/>
          <w:szCs w:val="21"/>
        </w:rPr>
        <w:t>11. 响应文件的递交</w:t>
      </w:r>
      <w:bookmarkEnd w:id="25"/>
    </w:p>
    <w:p>
      <w:pPr>
        <w:spacing w:line="360" w:lineRule="exact"/>
        <w:ind w:left="420" w:leftChars="200" w:firstLine="0" w:firstLineChars="0"/>
        <w:rPr>
          <w:rFonts w:ascii="宋体" w:hAnsi="宋体"/>
          <w:szCs w:val="21"/>
        </w:rPr>
      </w:pPr>
      <w:r>
        <w:rPr>
          <w:rFonts w:hint="eastAsia" w:ascii="宋体" w:hAnsi="宋体"/>
          <w:szCs w:val="21"/>
        </w:rPr>
        <w:t>所有响应文件应于谈判采购文件中规定的时间前递交到广西东博会场馆运营有限公司。</w:t>
      </w:r>
    </w:p>
    <w:p>
      <w:pPr>
        <w:spacing w:line="360" w:lineRule="exact"/>
        <w:ind w:firstLine="420" w:firstLineChars="200"/>
        <w:rPr>
          <w:rFonts w:ascii="宋体" w:hAnsi="宋体"/>
          <w:szCs w:val="21"/>
        </w:rPr>
      </w:pPr>
      <w:bookmarkStart w:id="26" w:name="_Toc7078_WPSOffice_Level3"/>
      <w:r>
        <w:rPr>
          <w:rFonts w:hint="eastAsia" w:ascii="宋体" w:hAnsi="宋体"/>
          <w:szCs w:val="21"/>
        </w:rPr>
        <w:t>12.迟交的响应文件</w:t>
      </w:r>
      <w:bookmarkEnd w:id="26"/>
    </w:p>
    <w:p>
      <w:pPr>
        <w:spacing w:line="360" w:lineRule="exact"/>
        <w:ind w:firstLine="420" w:firstLineChars="200"/>
        <w:rPr>
          <w:rFonts w:ascii="宋体" w:hAnsi="宋体"/>
          <w:szCs w:val="21"/>
        </w:rPr>
      </w:pPr>
      <w:r>
        <w:rPr>
          <w:rFonts w:hint="eastAsia" w:ascii="宋体" w:hAnsi="宋体"/>
          <w:szCs w:val="21"/>
        </w:rPr>
        <w:t>广西东博会场馆运营有限公司拒绝或原封退回在其规定的递交响应文件截止时间之后收到的任何响应文件。</w:t>
      </w:r>
    </w:p>
    <w:p>
      <w:pPr>
        <w:spacing w:line="360" w:lineRule="exact"/>
        <w:ind w:firstLine="422" w:firstLineChars="200"/>
        <w:rPr>
          <w:rFonts w:ascii="宋体" w:hAnsi="宋体"/>
          <w:b/>
          <w:szCs w:val="21"/>
        </w:rPr>
      </w:pPr>
      <w:bookmarkStart w:id="27" w:name="_Toc18558_WPSOffice_Level2"/>
      <w:r>
        <w:rPr>
          <w:rFonts w:hint="eastAsia" w:ascii="宋体" w:hAnsi="宋体"/>
          <w:b/>
          <w:szCs w:val="21"/>
        </w:rPr>
        <w:t>五、响应文件评审及谈判的步骤</w:t>
      </w:r>
      <w:bookmarkEnd w:id="27"/>
    </w:p>
    <w:p>
      <w:pPr>
        <w:spacing w:line="360" w:lineRule="exact"/>
        <w:ind w:firstLine="420" w:firstLineChars="200"/>
        <w:rPr>
          <w:rFonts w:ascii="宋体" w:hAnsi="宋体" w:cs="宋体"/>
          <w:kern w:val="0"/>
          <w:szCs w:val="21"/>
        </w:rPr>
      </w:pPr>
      <w:r>
        <w:rPr>
          <w:rFonts w:hint="eastAsia" w:ascii="宋体" w:hAnsi="宋体" w:cs="宋体"/>
          <w:kern w:val="0"/>
          <w:szCs w:val="21"/>
        </w:rPr>
        <w:t>13.1谈判小组由采购人代表和评审专家共3人以上单数组成，其中评审专家人数不得少于谈判小组成员总数的2/3。</w:t>
      </w:r>
    </w:p>
    <w:p>
      <w:pPr>
        <w:spacing w:line="360" w:lineRule="exact"/>
        <w:ind w:firstLine="420" w:firstLineChars="200"/>
        <w:rPr>
          <w:rFonts w:ascii="宋体" w:hAnsi="宋体"/>
          <w:szCs w:val="21"/>
        </w:rPr>
      </w:pPr>
      <w:r>
        <w:rPr>
          <w:rFonts w:hint="eastAsia" w:ascii="宋体" w:hAnsi="宋体"/>
          <w:szCs w:val="21"/>
        </w:rPr>
        <w:t>13.2</w:t>
      </w:r>
      <w:r>
        <w:rPr>
          <w:rFonts w:ascii="宋体" w:hAnsi="宋体"/>
          <w:szCs w:val="21"/>
        </w:rPr>
        <w:t>谈判小组</w:t>
      </w:r>
      <w:r>
        <w:rPr>
          <w:rFonts w:hint="eastAsia" w:ascii="宋体" w:hAnsi="宋体"/>
          <w:szCs w:val="21"/>
        </w:rPr>
        <w:t>确认谈判采购文件。</w:t>
      </w:r>
    </w:p>
    <w:p>
      <w:pPr>
        <w:spacing w:line="360" w:lineRule="exact"/>
        <w:ind w:firstLine="420" w:firstLineChars="200"/>
        <w:rPr>
          <w:rFonts w:ascii="宋体" w:hAnsi="宋体"/>
          <w:szCs w:val="21"/>
        </w:rPr>
      </w:pPr>
      <w:r>
        <w:rPr>
          <w:rFonts w:hint="eastAsia" w:ascii="宋体" w:hAnsi="宋体"/>
          <w:szCs w:val="21"/>
        </w:rPr>
        <w:t>13.3谈判小组对竞标资格条件及响应文件的有效性、完整性和响应程度进行审查。</w:t>
      </w:r>
    </w:p>
    <w:p>
      <w:pPr>
        <w:spacing w:line="360" w:lineRule="exact"/>
        <w:ind w:firstLine="420" w:firstLineChars="200"/>
        <w:rPr>
          <w:rFonts w:ascii="宋体" w:hAnsi="宋体"/>
          <w:szCs w:val="21"/>
        </w:rPr>
      </w:pPr>
      <w:bookmarkStart w:id="28" w:name="_Toc21234_WPSOffice_Level3"/>
      <w:r>
        <w:rPr>
          <w:rFonts w:hint="eastAsia" w:ascii="宋体" w:hAnsi="宋体"/>
          <w:szCs w:val="21"/>
        </w:rPr>
        <w:t>13.3.1澄清</w:t>
      </w:r>
      <w:bookmarkEnd w:id="28"/>
    </w:p>
    <w:p>
      <w:pPr>
        <w:spacing w:line="360" w:lineRule="exact"/>
        <w:ind w:firstLine="420" w:firstLineChars="200"/>
        <w:rPr>
          <w:rFonts w:ascii="宋体" w:hAnsi="宋体"/>
          <w:szCs w:val="21"/>
        </w:rPr>
      </w:pPr>
      <w:r>
        <w:rPr>
          <w:rFonts w:hint="eastAsia" w:ascii="宋体" w:hAnsi="宋体"/>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firstLine="420" w:firstLineChars="200"/>
        <w:rPr>
          <w:rFonts w:ascii="宋体" w:hAnsi="宋体"/>
          <w:szCs w:val="21"/>
        </w:rPr>
      </w:pPr>
      <w:r>
        <w:rPr>
          <w:rFonts w:hint="eastAsia" w:ascii="宋体" w:hAnsi="宋体"/>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exact"/>
        <w:ind w:firstLine="420" w:firstLineChars="200"/>
        <w:rPr>
          <w:rFonts w:ascii="宋体" w:hAnsi="宋体"/>
          <w:szCs w:val="21"/>
        </w:rPr>
      </w:pPr>
      <w:r>
        <w:rPr>
          <w:rFonts w:hint="eastAsia" w:ascii="宋体" w:hAnsi="宋体"/>
          <w:szCs w:val="21"/>
        </w:rPr>
        <w:t>13.4谈判</w:t>
      </w:r>
    </w:p>
    <w:p>
      <w:pPr>
        <w:spacing w:line="360" w:lineRule="exact"/>
        <w:ind w:firstLine="420" w:firstLineChars="200"/>
        <w:rPr>
          <w:rFonts w:ascii="宋体" w:hAnsi="宋体"/>
          <w:szCs w:val="21"/>
        </w:rPr>
      </w:pPr>
      <w:r>
        <w:rPr>
          <w:rFonts w:hint="eastAsia" w:ascii="宋体" w:hAnsi="宋体"/>
          <w:szCs w:val="21"/>
        </w:rPr>
        <w:t>谈判小组按已确定的谈判顺序集中与单一供应商分别进行谈判，并给予所有参加谈判的供应商平等的谈判机会。谈判的内容包括技术性条件、商务性条件以及谈判小组认为需要谈判的内容。</w:t>
      </w:r>
    </w:p>
    <w:p>
      <w:pPr>
        <w:spacing w:line="360" w:lineRule="exact"/>
        <w:ind w:firstLine="420" w:firstLineChars="200"/>
        <w:rPr>
          <w:rFonts w:ascii="宋体" w:hAnsi="宋体"/>
          <w:szCs w:val="21"/>
        </w:rPr>
      </w:pPr>
      <w:r>
        <w:rPr>
          <w:rFonts w:hint="eastAsia" w:ascii="宋体" w:hAnsi="宋体"/>
          <w:szCs w:val="21"/>
        </w:rPr>
        <w:t>对谈判采购文件作出的实质性变动是谈判采购文件的有效组成部分，谈判小组应当及时以书面形式同时通知所有参加谈判的供应商。</w:t>
      </w:r>
    </w:p>
    <w:p>
      <w:pPr>
        <w:spacing w:line="360" w:lineRule="exact"/>
        <w:ind w:firstLine="420" w:firstLineChars="200"/>
        <w:rPr>
          <w:rFonts w:ascii="宋体" w:hAnsi="宋体"/>
          <w:szCs w:val="21"/>
        </w:rPr>
      </w:pPr>
      <w:r>
        <w:rPr>
          <w:rFonts w:hint="eastAsia" w:ascii="宋体" w:hAnsi="宋体"/>
          <w:szCs w:val="21"/>
        </w:rPr>
        <w:t>供应商应当按照谈判采购文件的变动情况和谈判小组的要求重新提交响应文件，并由其法定代表人或授权代表签字或者加盖公章。由授权代表签字的，应当附法定代表人授权书。</w:t>
      </w:r>
    </w:p>
    <w:p>
      <w:pPr>
        <w:spacing w:line="360" w:lineRule="exact"/>
        <w:ind w:firstLine="404" w:firstLineChars="200"/>
        <w:rPr>
          <w:rFonts w:ascii="宋体" w:hAnsi="宋体"/>
          <w:spacing w:val="-4"/>
          <w:szCs w:val="21"/>
        </w:rPr>
      </w:pPr>
      <w:r>
        <w:rPr>
          <w:rFonts w:hint="eastAsia" w:ascii="宋体" w:hAnsi="宋体"/>
          <w:spacing w:val="-4"/>
          <w:szCs w:val="21"/>
        </w:rPr>
        <w:t>谈判中，谈判的任何一方不得透露与谈判有关的其他供应商的技术资料、价格和其他信息。</w:t>
      </w:r>
    </w:p>
    <w:p>
      <w:pPr>
        <w:spacing w:line="360" w:lineRule="exact"/>
        <w:ind w:firstLine="420" w:firstLineChars="200"/>
        <w:rPr>
          <w:rFonts w:ascii="宋体" w:hAnsi="宋体"/>
          <w:szCs w:val="21"/>
        </w:rPr>
      </w:pPr>
      <w:r>
        <w:rPr>
          <w:rFonts w:hint="eastAsia" w:ascii="宋体" w:hAnsi="宋体"/>
          <w:szCs w:val="21"/>
        </w:rPr>
        <w:t>我公司</w:t>
      </w:r>
      <w:r>
        <w:rPr>
          <w:rFonts w:hint="eastAsia" w:ascii="宋体" w:hAnsi="宋体"/>
          <w:szCs w:val="21"/>
          <w:lang w:val="en-US" w:eastAsia="zh-CN"/>
        </w:rPr>
        <w:t>根据需要</w:t>
      </w:r>
      <w:r>
        <w:rPr>
          <w:rFonts w:hint="eastAsia" w:ascii="宋体" w:hAnsi="宋体"/>
          <w:szCs w:val="21"/>
        </w:rPr>
        <w:t>对谈判过程和重要谈判内容进行记录，谈判双方在记录上签字确认。</w:t>
      </w:r>
    </w:p>
    <w:p>
      <w:pPr>
        <w:spacing w:line="360" w:lineRule="exact"/>
        <w:ind w:firstLine="420" w:firstLineChars="200"/>
        <w:rPr>
          <w:rFonts w:ascii="宋体" w:hAnsi="宋体"/>
          <w:szCs w:val="21"/>
        </w:rPr>
      </w:pPr>
      <w:r>
        <w:rPr>
          <w:rFonts w:hint="eastAsia" w:ascii="宋体" w:hAnsi="宋体"/>
          <w:szCs w:val="21"/>
        </w:rPr>
        <w:t>13.5最后报价</w:t>
      </w:r>
    </w:p>
    <w:p>
      <w:pPr>
        <w:spacing w:line="360" w:lineRule="exact"/>
        <w:ind w:firstLine="420" w:firstLineChars="200"/>
        <w:rPr>
          <w:rFonts w:ascii="宋体" w:hAnsi="宋体"/>
          <w:szCs w:val="21"/>
        </w:rPr>
      </w:pPr>
      <w:r>
        <w:rPr>
          <w:rFonts w:hint="eastAsia" w:ascii="宋体" w:hAnsi="宋体"/>
          <w:szCs w:val="21"/>
        </w:rPr>
        <w:t>13.5.1谈判采购文件能够详细列明采购标的的技术、服务要求的，谈判结束后，谈判小组应当要求所有继续参加谈判的供应商在规定时间内密封提交最后报价，原则上参加采购的供应商不得少于3家，经采购人确认，提交最后报价的供应商可以为2家。</w:t>
      </w:r>
    </w:p>
    <w:p>
      <w:pPr>
        <w:spacing w:line="360" w:lineRule="exact"/>
        <w:ind w:firstLine="420" w:firstLineChars="200"/>
        <w:rPr>
          <w:rFonts w:ascii="宋体" w:hAnsi="宋体"/>
          <w:szCs w:val="21"/>
        </w:rPr>
      </w:pPr>
      <w:r>
        <w:rPr>
          <w:rFonts w:hint="eastAsia" w:ascii="宋体" w:hAnsi="宋体"/>
          <w:szCs w:val="21"/>
        </w:rPr>
        <w:t>13.5.2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360" w:lineRule="exact"/>
        <w:ind w:firstLine="420" w:firstLineChars="200"/>
        <w:rPr>
          <w:rFonts w:ascii="宋体" w:hAnsi="宋体"/>
          <w:szCs w:val="21"/>
        </w:rPr>
      </w:pPr>
      <w:r>
        <w:rPr>
          <w:rFonts w:hint="eastAsia" w:ascii="宋体" w:hAnsi="宋体"/>
          <w:szCs w:val="21"/>
        </w:rPr>
        <w:t>13.5.3最后报价是供应商响应文件的有效组成部分。</w:t>
      </w:r>
    </w:p>
    <w:p>
      <w:pPr>
        <w:spacing w:line="360" w:lineRule="exact"/>
        <w:ind w:firstLine="420" w:firstLineChars="200"/>
        <w:rPr>
          <w:rFonts w:hint="eastAsia" w:ascii="宋体" w:hAnsi="宋体"/>
          <w:szCs w:val="21"/>
        </w:rPr>
      </w:pPr>
      <w:r>
        <w:rPr>
          <w:rFonts w:hint="eastAsia" w:ascii="宋体" w:hAnsi="宋体"/>
          <w:szCs w:val="21"/>
        </w:rPr>
        <w:t>13.6本采购项目是以采购人采购预算价为最</w:t>
      </w:r>
      <w:r>
        <w:rPr>
          <w:rFonts w:hint="eastAsia" w:ascii="宋体" w:hAnsi="宋体"/>
          <w:szCs w:val="21"/>
          <w:lang w:eastAsia="zh-CN"/>
        </w:rPr>
        <w:t>高</w:t>
      </w:r>
      <w:r>
        <w:rPr>
          <w:rFonts w:hint="eastAsia" w:ascii="宋体" w:hAnsi="宋体"/>
          <w:szCs w:val="21"/>
        </w:rPr>
        <w:t>限价，</w:t>
      </w:r>
      <w:r>
        <w:rPr>
          <w:rFonts w:hint="eastAsia" w:ascii="宋体" w:hAnsi="宋体"/>
          <w:szCs w:val="21"/>
          <w:lang w:eastAsia="zh-CN"/>
        </w:rPr>
        <w:t>超出</w:t>
      </w:r>
      <w:r>
        <w:rPr>
          <w:rFonts w:hint="eastAsia" w:ascii="宋体" w:hAnsi="宋体"/>
          <w:szCs w:val="21"/>
        </w:rPr>
        <w:t>采购预算价的最终竞标报价，谈判小组将不予以评审。</w:t>
      </w:r>
    </w:p>
    <w:p>
      <w:pPr>
        <w:widowControl/>
        <w:tabs>
          <w:tab w:val="left" w:pos="540"/>
        </w:tabs>
        <w:spacing w:line="360" w:lineRule="exact"/>
        <w:ind w:firstLine="420" w:firstLineChars="200"/>
        <w:jc w:val="left"/>
        <w:rPr>
          <w:rFonts w:hAnsi="宋体"/>
          <w:b/>
          <w:bCs/>
        </w:rPr>
      </w:pPr>
      <w:r>
        <w:rPr>
          <w:rFonts w:hint="eastAsia" w:ascii="宋体" w:hAnsi="宋体"/>
          <w:szCs w:val="21"/>
        </w:rPr>
        <w:t>13.7</w:t>
      </w:r>
      <w:r>
        <w:rPr>
          <w:rFonts w:hint="eastAsia" w:hAnsi="宋体"/>
          <w:b/>
          <w:bCs/>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szCs w:val="21"/>
        </w:rPr>
      </w:pPr>
      <w:r>
        <w:rPr>
          <w:rFonts w:hint="eastAsia" w:ascii="宋体" w:hAnsi="宋体"/>
          <w:bCs/>
        </w:rPr>
        <w:t>13.8</w:t>
      </w:r>
      <w:r>
        <w:rPr>
          <w:rFonts w:hint="eastAsia" w:ascii="宋体" w:hAnsi="宋体"/>
          <w:szCs w:val="21"/>
        </w:rPr>
        <w:t>特别说明：</w:t>
      </w:r>
    </w:p>
    <w:p>
      <w:pPr>
        <w:widowControl/>
        <w:spacing w:line="360" w:lineRule="exact"/>
        <w:ind w:firstLine="420" w:firstLineChars="200"/>
        <w:jc w:val="left"/>
        <w:rPr>
          <w:rFonts w:ascii="宋体" w:hAnsi="宋体"/>
          <w:szCs w:val="21"/>
        </w:rPr>
      </w:pPr>
      <w:r>
        <w:rPr>
          <w:rFonts w:hint="eastAsia" w:ascii="宋体" w:hAnsi="宋体"/>
          <w:szCs w:val="21"/>
        </w:rPr>
        <w:t>（1）出现下列情形之一的，评审时，取其中通过资格审查后的报价最</w:t>
      </w:r>
      <w:r>
        <w:rPr>
          <w:rFonts w:hint="eastAsia" w:ascii="宋体" w:hAnsi="宋体"/>
          <w:szCs w:val="21"/>
          <w:lang w:eastAsia="zh-CN"/>
        </w:rPr>
        <w:t>低</w:t>
      </w:r>
      <w:r>
        <w:rPr>
          <w:rFonts w:hint="eastAsia" w:ascii="宋体" w:hAnsi="宋体"/>
          <w:szCs w:val="21"/>
        </w:rPr>
        <w:t>一家为有效供应商；当报价相同时，</w:t>
      </w:r>
      <w:r>
        <w:rPr>
          <w:rFonts w:hint="eastAsia" w:ascii="宋体" w:hAnsi="宋体"/>
          <w:szCs w:val="21"/>
          <w:lang w:val="en-US" w:eastAsia="zh-CN"/>
        </w:rPr>
        <w:t>评标价相同时，依次按技术指标高优先、质量保证期长优先、处理问题</w:t>
      </w:r>
      <w:r>
        <w:rPr>
          <w:rFonts w:hint="eastAsia" w:ascii="宋体" w:hAnsi="宋体"/>
          <w:szCs w:val="21"/>
        </w:rPr>
        <w:t>响应时间短优先的顺序排列,评标价相同且前述指标均相同时，由谈判小组各成员对评标价相同的供应商当场投票表决，得票多者优先；按前述程序仍无法确定供应商排名顺序的，由评审委员会抽签决定</w:t>
      </w:r>
      <w:r>
        <w:rPr>
          <w:rFonts w:hint="eastAsia" w:ascii="宋体" w:hAnsi="宋体"/>
          <w:szCs w:val="21"/>
          <w:lang w:eastAsia="zh-CN"/>
        </w:rPr>
        <w:t>。</w:t>
      </w:r>
      <w:r>
        <w:rPr>
          <w:rFonts w:hint="eastAsia" w:ascii="宋体" w:hAnsi="宋体"/>
          <w:szCs w:val="21"/>
        </w:rPr>
        <w:t>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szCs w:val="21"/>
        </w:rPr>
      </w:pPr>
      <w:r>
        <w:rPr>
          <w:rFonts w:hint="eastAsia" w:ascii="宋体" w:hAnsi="宋体"/>
          <w:szCs w:val="21"/>
        </w:rPr>
        <w:t>（2）供应商竞标所使用的资格、信誉、荣誉、业绩与企业认证必须为本法人所拥有。</w:t>
      </w:r>
    </w:p>
    <w:p>
      <w:pPr>
        <w:widowControl/>
        <w:spacing w:line="360" w:lineRule="exact"/>
        <w:ind w:firstLine="420" w:firstLineChars="200"/>
        <w:jc w:val="left"/>
        <w:rPr>
          <w:rFonts w:ascii="宋体" w:hAnsi="宋体"/>
          <w:szCs w:val="21"/>
        </w:rPr>
      </w:pPr>
      <w:r>
        <w:rPr>
          <w:rFonts w:hint="eastAsia" w:ascii="宋体" w:hAnsi="宋体"/>
          <w:szCs w:val="21"/>
        </w:rPr>
        <w:t>（3）供应商应仔细阅读谈判采购文件的所有内容，按照谈判采购文件的要求提交响应文件，并对所提供的全部资料的真实性承担法律责任。</w:t>
      </w:r>
    </w:p>
    <w:p>
      <w:pPr>
        <w:widowControl/>
        <w:spacing w:line="360" w:lineRule="exact"/>
        <w:ind w:firstLine="420" w:firstLineChars="200"/>
        <w:jc w:val="left"/>
        <w:rPr>
          <w:rFonts w:hAnsi="宋体"/>
        </w:rPr>
      </w:pPr>
      <w:r>
        <w:rPr>
          <w:rFonts w:hint="eastAsia" w:ascii="宋体" w:hAnsi="宋体"/>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szCs w:val="21"/>
        </w:rPr>
      </w:pPr>
      <w:bookmarkStart w:id="29" w:name="_Toc31657_WPSOffice_Level2"/>
      <w:r>
        <w:rPr>
          <w:rFonts w:hint="eastAsia" w:ascii="宋体" w:hAnsi="宋体"/>
          <w:b/>
          <w:szCs w:val="21"/>
        </w:rPr>
        <w:t>六、确定成交供应商办法及结果公告</w:t>
      </w:r>
      <w:bookmarkEnd w:id="29"/>
    </w:p>
    <w:p>
      <w:pPr>
        <w:spacing w:line="360" w:lineRule="exact"/>
        <w:ind w:firstLine="420" w:firstLineChars="200"/>
        <w:rPr>
          <w:rFonts w:hint="eastAsia" w:ascii="宋体" w:hAnsi="宋体" w:cs="宋体"/>
          <w:kern w:val="0"/>
          <w:szCs w:val="21"/>
          <w:lang w:eastAsia="zh-CN"/>
        </w:rPr>
      </w:pPr>
      <w:r>
        <w:rPr>
          <w:rFonts w:hint="eastAsia" w:ascii="宋体" w:hAnsi="宋体"/>
          <w:szCs w:val="21"/>
        </w:rPr>
        <w:t>14.1</w:t>
      </w:r>
      <w:r>
        <w:rPr>
          <w:rFonts w:ascii="宋体" w:hAnsi="宋体" w:cs="宋体"/>
          <w:kern w:val="0"/>
          <w:szCs w:val="21"/>
        </w:rPr>
        <w:t>采购人应当</w:t>
      </w:r>
      <w:r>
        <w:rPr>
          <w:rFonts w:hint="eastAsia" w:ascii="宋体" w:hAnsi="宋体" w:cs="宋体"/>
          <w:kern w:val="0"/>
          <w:szCs w:val="21"/>
          <w:lang w:eastAsia="zh-CN"/>
        </w:rPr>
        <w:t>评标</w:t>
      </w:r>
      <w:r>
        <w:rPr>
          <w:rFonts w:ascii="宋体" w:hAnsi="宋体" w:cs="宋体"/>
          <w:kern w:val="0"/>
          <w:szCs w:val="21"/>
        </w:rPr>
        <w:t>后5个工作日内确定成交供应商</w:t>
      </w:r>
      <w:r>
        <w:rPr>
          <w:rFonts w:hint="eastAsia" w:ascii="宋体" w:hAnsi="宋体" w:cs="宋体"/>
          <w:kern w:val="0"/>
          <w:szCs w:val="21"/>
          <w:lang w:eastAsia="zh-CN"/>
        </w:rPr>
        <w:t>。</w:t>
      </w:r>
    </w:p>
    <w:p>
      <w:pPr>
        <w:spacing w:line="360" w:lineRule="exact"/>
        <w:ind w:firstLine="420" w:firstLineChars="200"/>
        <w:rPr>
          <w:rFonts w:ascii="宋体" w:hAnsi="宋体"/>
          <w:b/>
          <w:szCs w:val="21"/>
        </w:rPr>
      </w:pPr>
      <w:r>
        <w:rPr>
          <w:rFonts w:hint="eastAsia" w:ascii="宋体" w:hAnsi="宋体"/>
          <w:szCs w:val="21"/>
        </w:rPr>
        <w:t>14.2采购人</w:t>
      </w:r>
      <w:r>
        <w:rPr>
          <w:rFonts w:ascii="宋体" w:hAnsi="宋体"/>
          <w:szCs w:val="21"/>
        </w:rPr>
        <w:t>应当在成交供应商确定后2个工作日内，在</w:t>
      </w:r>
      <w:r>
        <w:rPr>
          <w:rFonts w:hint="eastAsia" w:ascii="宋体" w:hAnsi="宋体"/>
          <w:szCs w:val="21"/>
          <w:lang w:eastAsia="zh-CN"/>
        </w:rPr>
        <w:t>广西国际博览集团官网</w:t>
      </w:r>
      <w:r>
        <w:rPr>
          <w:rFonts w:ascii="宋体" w:hAnsi="宋体"/>
          <w:szCs w:val="21"/>
        </w:rPr>
        <w:t>上公告成交结果，同时向成交供应商发出成交通知书</w:t>
      </w:r>
      <w:r>
        <w:rPr>
          <w:rFonts w:hint="eastAsia" w:ascii="宋体" w:hAnsi="宋体"/>
          <w:szCs w:val="21"/>
        </w:rPr>
        <w:t>。</w:t>
      </w:r>
    </w:p>
    <w:p>
      <w:pPr>
        <w:spacing w:line="360" w:lineRule="exact"/>
        <w:ind w:firstLine="422" w:firstLineChars="200"/>
        <w:rPr>
          <w:rFonts w:ascii="宋体" w:hAnsi="宋体"/>
          <w:b/>
          <w:szCs w:val="21"/>
        </w:rPr>
      </w:pPr>
      <w:bookmarkStart w:id="30" w:name="_Toc8037_WPSOffice_Level2"/>
      <w:r>
        <w:rPr>
          <w:rFonts w:hint="eastAsia" w:ascii="宋体" w:hAnsi="宋体"/>
          <w:b/>
          <w:szCs w:val="21"/>
        </w:rPr>
        <w:t>七、履约保证金</w:t>
      </w:r>
      <w:bookmarkEnd w:id="30"/>
    </w:p>
    <w:p>
      <w:pPr>
        <w:spacing w:line="360" w:lineRule="exact"/>
        <w:ind w:firstLine="420" w:firstLineChars="200"/>
        <w:rPr>
          <w:rFonts w:ascii="宋体" w:hAnsi="宋体"/>
          <w:szCs w:val="21"/>
        </w:rPr>
      </w:pPr>
      <w:r>
        <w:rPr>
          <w:rFonts w:hint="eastAsia" w:ascii="宋体" w:hAnsi="宋体"/>
          <w:szCs w:val="21"/>
        </w:rPr>
        <w:t>15.1 是否收取履约保证金具体见</w:t>
      </w:r>
      <w:r>
        <w:rPr>
          <w:rFonts w:hint="eastAsia" w:ascii="宋体" w:hAnsi="宋体"/>
          <w:b/>
          <w:szCs w:val="21"/>
        </w:rPr>
        <w:t>“供应商须知前附表”</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15.2 成交人在收到采购人的《成交通知书》后，签订合同前，应按照</w:t>
      </w:r>
      <w:r>
        <w:rPr>
          <w:rFonts w:hint="eastAsia" w:ascii="宋体" w:hAnsi="宋体"/>
          <w:b/>
          <w:szCs w:val="21"/>
        </w:rPr>
        <w:t>供应商须知前附表</w:t>
      </w:r>
      <w:r>
        <w:rPr>
          <w:rFonts w:hint="eastAsia" w:ascii="宋体" w:hAnsi="宋体"/>
          <w:szCs w:val="21"/>
        </w:rPr>
        <w:t>的规定提交履约保证金。成交人没有按照规定提交履约保证金的，视为放弃中标，其竞标保证金不予退还。</w:t>
      </w:r>
    </w:p>
    <w:p>
      <w:pPr>
        <w:spacing w:line="360" w:lineRule="exact"/>
        <w:ind w:firstLine="420" w:firstLineChars="200"/>
        <w:rPr>
          <w:rFonts w:ascii="宋体" w:hAnsi="宋体"/>
          <w:szCs w:val="21"/>
        </w:rPr>
      </w:pPr>
      <w:r>
        <w:rPr>
          <w:rFonts w:hint="eastAsia" w:ascii="宋体" w:hAnsi="宋体"/>
          <w:szCs w:val="21"/>
        </w:rPr>
        <w:t>15.3 签订合同后，如成交人不按双方签订的合同规定履约，则没收其全部履约保证金，履约保证金不足以赔偿损失的，按实际损失赔偿。</w:t>
      </w:r>
    </w:p>
    <w:p>
      <w:pPr>
        <w:spacing w:line="360" w:lineRule="exact"/>
        <w:ind w:firstLine="420" w:firstLineChars="200"/>
        <w:rPr>
          <w:rFonts w:hint="default" w:ascii="宋体" w:hAnsi="宋体" w:eastAsia="宋体"/>
          <w:szCs w:val="21"/>
          <w:lang w:val="en-US" w:eastAsia="zh-CN"/>
        </w:rPr>
      </w:pPr>
      <w:r>
        <w:rPr>
          <w:rFonts w:hint="eastAsia" w:ascii="宋体" w:hAnsi="宋体"/>
          <w:szCs w:val="21"/>
        </w:rPr>
        <w:t>15.4 履约保证金在成交供应商按合同约定履约完毕后，</w:t>
      </w:r>
      <w:r>
        <w:rPr>
          <w:rFonts w:hint="eastAsia" w:ascii="宋体" w:hAnsi="宋体"/>
          <w:szCs w:val="21"/>
          <w:lang w:val="en-US" w:eastAsia="zh-CN"/>
        </w:rPr>
        <w:t>如乙方无任何违约违法行为的，由供应商按规定提出申请，甲方在10个工作日无息退还履约保证金。</w:t>
      </w:r>
    </w:p>
    <w:p>
      <w:pPr>
        <w:spacing w:line="360" w:lineRule="exact"/>
        <w:ind w:firstLine="420" w:firstLineChars="200"/>
        <w:rPr>
          <w:rFonts w:ascii="宋体" w:hAnsi="宋体"/>
          <w:b/>
          <w:szCs w:val="21"/>
        </w:rPr>
      </w:pPr>
      <w:r>
        <w:rPr>
          <w:rFonts w:hint="eastAsia" w:ascii="宋体" w:hAnsi="宋体"/>
          <w:szCs w:val="21"/>
        </w:rPr>
        <w:t>15.5 在履约保证金退还日期前，若成交人的开户名称、开户银行、帐号有变动的，请以书面形式通知原履约保证金收取单位，否则由此产生的后果由成交人自负。</w:t>
      </w:r>
    </w:p>
    <w:p>
      <w:pPr>
        <w:spacing w:line="360" w:lineRule="exact"/>
        <w:ind w:firstLine="422" w:firstLineChars="200"/>
        <w:rPr>
          <w:rFonts w:ascii="宋体" w:hAnsi="宋体"/>
          <w:b/>
          <w:szCs w:val="21"/>
        </w:rPr>
      </w:pPr>
      <w:bookmarkStart w:id="31" w:name="_Toc7078_WPSOffice_Level2"/>
      <w:r>
        <w:rPr>
          <w:rFonts w:hint="eastAsia" w:ascii="宋体" w:hAnsi="宋体"/>
          <w:b/>
          <w:szCs w:val="21"/>
        </w:rPr>
        <w:t>八、签订合同</w:t>
      </w:r>
      <w:bookmarkEnd w:id="31"/>
    </w:p>
    <w:p>
      <w:pPr>
        <w:spacing w:line="360" w:lineRule="exact"/>
        <w:ind w:left="420" w:leftChars="200" w:firstLine="0" w:firstLineChars="0"/>
        <w:rPr>
          <w:rFonts w:ascii="宋体" w:hAnsi="宋体"/>
          <w:szCs w:val="21"/>
        </w:rPr>
      </w:pPr>
      <w:r>
        <w:rPr>
          <w:rFonts w:hint="eastAsia" w:ascii="宋体" w:hAnsi="宋体"/>
          <w:szCs w:val="21"/>
        </w:rPr>
        <w:t>16.1成交供应商在收到成交通知书后，按规定与采购人签订采购合同。</w:t>
      </w:r>
    </w:p>
    <w:p>
      <w:pPr>
        <w:spacing w:line="360" w:lineRule="exact"/>
        <w:ind w:firstLine="420" w:firstLineChars="200"/>
        <w:rPr>
          <w:rFonts w:ascii="宋体" w:hAnsi="宋体"/>
          <w:b/>
          <w:szCs w:val="21"/>
        </w:rPr>
      </w:pPr>
      <w:r>
        <w:rPr>
          <w:rFonts w:hint="eastAsia" w:ascii="宋体" w:hAnsi="宋体"/>
          <w:szCs w:val="21"/>
        </w:rPr>
        <w:t>16.2</w:t>
      </w:r>
      <w:r>
        <w:rPr>
          <w:rFonts w:ascii="宋体" w:hAnsi="宋体"/>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360" w:lineRule="exact"/>
        <w:rPr>
          <w:rFonts w:ascii="宋体" w:hAnsi="宋体"/>
          <w:b/>
          <w:szCs w:val="21"/>
        </w:rPr>
      </w:pPr>
    </w:p>
    <w:p>
      <w:pPr>
        <w:pStyle w:val="3"/>
        <w:jc w:val="both"/>
        <w:rPr>
          <w:rFonts w:hint="eastAsia"/>
        </w:rPr>
      </w:pPr>
      <w:bookmarkStart w:id="32" w:name="_Toc393040186"/>
    </w:p>
    <w:p>
      <w:pPr>
        <w:rPr>
          <w:rFonts w:hint="eastAsia"/>
        </w:rPr>
      </w:pPr>
    </w:p>
    <w:p>
      <w:pPr>
        <w:pStyle w:val="3"/>
        <w:jc w:val="center"/>
        <w:rPr>
          <w:rFonts w:hint="eastAsia"/>
        </w:rPr>
      </w:pPr>
    </w:p>
    <w:p>
      <w:pPr>
        <w:pStyle w:val="3"/>
        <w:jc w:val="center"/>
      </w:pPr>
      <w:bookmarkStart w:id="33" w:name="_Toc7665"/>
      <w:bookmarkStart w:id="34" w:name="_Toc22179_WPSOffice_Level1"/>
      <w:r>
        <w:rPr>
          <w:rFonts w:hint="eastAsia"/>
        </w:rPr>
        <w:t>第三章项目需求</w:t>
      </w:r>
      <w:bookmarkEnd w:id="32"/>
      <w:bookmarkEnd w:id="33"/>
      <w:bookmarkEnd w:id="34"/>
    </w:p>
    <w:p>
      <w:pPr>
        <w:spacing w:line="320" w:lineRule="exact"/>
        <w:jc w:val="left"/>
        <w:rPr>
          <w:rFonts w:ascii="宋体" w:hAnsi="宋体"/>
          <w:b/>
          <w:szCs w:val="21"/>
        </w:rPr>
      </w:pPr>
      <w:r>
        <w:rPr>
          <w:rFonts w:hint="eastAsia" w:ascii="宋体" w:hAnsi="宋体"/>
          <w:b/>
          <w:szCs w:val="21"/>
        </w:rPr>
        <w:t>说明：</w:t>
      </w:r>
    </w:p>
    <w:p>
      <w:pPr>
        <w:spacing w:line="320" w:lineRule="exact"/>
        <w:ind w:firstLine="424" w:firstLineChars="202"/>
        <w:jc w:val="left"/>
        <w:rPr>
          <w:rFonts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spacing w:line="320" w:lineRule="exact"/>
        <w:ind w:firstLine="426" w:firstLineChars="202"/>
        <w:jc w:val="left"/>
        <w:rPr>
          <w:rFonts w:ascii="宋体" w:hAnsi="宋体"/>
          <w:b/>
          <w:szCs w:val="21"/>
        </w:rPr>
      </w:pPr>
      <w:r>
        <w:rPr>
          <w:rFonts w:hint="eastAsia" w:ascii="宋体" w:hAnsi="宋体"/>
          <w:b/>
          <w:szCs w:val="21"/>
        </w:rPr>
        <w:t>2</w:t>
      </w:r>
      <w:r>
        <w:rPr>
          <w:rFonts w:hint="eastAsia" w:ascii="宋体" w:hAnsi="宋体"/>
          <w:b/>
          <w:szCs w:val="21"/>
          <w:lang w:val="en-US" w:eastAsia="zh-CN"/>
        </w:rPr>
        <w:t>.</w:t>
      </w:r>
      <w:r>
        <w:rPr>
          <w:rFonts w:hint="eastAsia" w:ascii="宋体" w:hAnsi="宋体"/>
          <w:b/>
          <w:szCs w:val="21"/>
        </w:rPr>
        <w:t>下列服务需求说明书所列内容，</w:t>
      </w:r>
      <w:r>
        <w:rPr>
          <w:rFonts w:hint="eastAsia" w:ascii="宋体" w:hAnsi="宋体"/>
          <w:b/>
          <w:szCs w:val="21"/>
          <w:lang w:eastAsia="zh-CN"/>
        </w:rPr>
        <w:t>打</w:t>
      </w:r>
      <w:r>
        <w:rPr>
          <w:rFonts w:hint="eastAsia" w:ascii="宋体" w:hAnsi="宋体"/>
          <w:b/>
          <w:szCs w:val="21"/>
        </w:rPr>
        <w:t>★</w:t>
      </w:r>
      <w:r>
        <w:rPr>
          <w:rFonts w:hint="eastAsia" w:ascii="宋体" w:hAnsi="宋体"/>
          <w:b/>
          <w:szCs w:val="21"/>
          <w:lang w:eastAsia="zh-CN"/>
        </w:rPr>
        <w:t>实质性响应内容，</w:t>
      </w:r>
      <w:r>
        <w:rPr>
          <w:rFonts w:hint="eastAsia" w:ascii="宋体" w:hAnsi="宋体"/>
          <w:b/>
          <w:szCs w:val="21"/>
        </w:rPr>
        <w:t>供应商</w:t>
      </w:r>
      <w:r>
        <w:rPr>
          <w:rFonts w:hint="eastAsia" w:ascii="宋体" w:hAnsi="宋体"/>
          <w:b/>
          <w:szCs w:val="21"/>
          <w:lang w:eastAsia="zh-CN"/>
        </w:rPr>
        <w:t>必须</w:t>
      </w:r>
      <w:r>
        <w:rPr>
          <w:rFonts w:hint="eastAsia" w:ascii="宋体" w:hAnsi="宋体"/>
          <w:b/>
          <w:szCs w:val="21"/>
        </w:rPr>
        <w:t>响应</w:t>
      </w:r>
      <w:r>
        <w:rPr>
          <w:rFonts w:hint="eastAsia" w:ascii="宋体" w:hAnsi="宋体"/>
          <w:b/>
          <w:szCs w:val="21"/>
          <w:lang w:eastAsia="zh-CN"/>
        </w:rPr>
        <w:t>，否则</w:t>
      </w:r>
      <w:r>
        <w:rPr>
          <w:rFonts w:hint="eastAsia" w:ascii="宋体" w:hAnsi="宋体"/>
          <w:b/>
          <w:szCs w:val="21"/>
        </w:rPr>
        <w:t>竞标无效。</w:t>
      </w:r>
    </w:p>
    <w:tbl>
      <w:tblPr>
        <w:tblStyle w:val="49"/>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993"/>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项号</w:t>
            </w:r>
          </w:p>
        </w:tc>
        <w:tc>
          <w:tcPr>
            <w:tcW w:w="1134" w:type="dxa"/>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服务名称</w:t>
            </w:r>
          </w:p>
        </w:tc>
        <w:tc>
          <w:tcPr>
            <w:tcW w:w="993" w:type="dxa"/>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6790" w:type="dxa"/>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675"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134"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bCs/>
                <w:sz w:val="21"/>
                <w:szCs w:val="21"/>
              </w:rPr>
              <w:t>除四害综合治理-灭鼠</w:t>
            </w:r>
          </w:p>
        </w:tc>
        <w:tc>
          <w:tcPr>
            <w:tcW w:w="993"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会展中心红线范围</w:t>
            </w:r>
          </w:p>
        </w:tc>
        <w:tc>
          <w:tcPr>
            <w:tcW w:w="6790" w:type="dxa"/>
          </w:tcPr>
          <w:p>
            <w:pPr>
              <w:numPr>
                <w:ilvl w:val="0"/>
                <w:numId w:val="8"/>
              </w:num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项目情况：</w:t>
            </w:r>
          </w:p>
          <w:p>
            <w:pPr>
              <w:numPr>
                <w:ilvl w:val="0"/>
                <w:numId w:val="0"/>
              </w:num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rPr>
              <w:t>执行全国爱国卫生运动委员会颁发的（1997）第5号文件规定的鼠、蚊、蝇、蟑螂控制标准：</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服务范围：A区、B区、C区、D区、E区5个区主建筑，会展中心红线范围内的外围区域。重点消杀区域：各区主建筑、各办公区、垃圾池、设备区域、球馆、地下停车场、A区商业区。</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15平方米标准房间布放20×20厘米滑石粉两块，一夜后阳性粉块不超过3%。</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有鼠洞、鼠粪、鼠咬痕等鼠迹的房间不超过2%；重点单位防鼠设施不合格不超过5%。</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不同类型的外环境累计2000米，鼠迹不超过5处。</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消杀服务次数：常规区域每月至少进行2次，A区商业区每月至少进行3次。</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使用产品要求：必须无放射性、无二次污染、对人体无害。</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w:t>
            </w:r>
            <w:r>
              <w:rPr>
                <w:rFonts w:hint="eastAsia" w:ascii="宋体" w:hAnsi="宋体" w:eastAsia="宋体" w:cs="宋体"/>
                <w:sz w:val="21"/>
                <w:szCs w:val="21"/>
              </w:rPr>
              <w:t>成交人进场后提供消杀使用药物的名单，不可使用鸟类当做食物的药物（如谷子等），如更换药物须在使用前将药物名单提交给采购人。</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eastAsia="宋体" w:cs="宋体"/>
                <w:sz w:val="21"/>
                <w:szCs w:val="21"/>
              </w:rPr>
              <w:t>在会展中心红线范围内合理布置鼠盒，并做好安全警示标识。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Align w:val="center"/>
          </w:tcPr>
          <w:p>
            <w:pPr>
              <w:spacing w:line="36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c>
          <w:tcPr>
            <w:tcW w:w="1134"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bCs/>
                <w:sz w:val="21"/>
                <w:szCs w:val="21"/>
              </w:rPr>
              <w:t>除四害综合治理-灭蟑螂</w:t>
            </w:r>
          </w:p>
        </w:tc>
        <w:tc>
          <w:tcPr>
            <w:tcW w:w="993"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会展中心红线范围</w:t>
            </w:r>
          </w:p>
        </w:tc>
        <w:tc>
          <w:tcPr>
            <w:tcW w:w="6790" w:type="dxa"/>
          </w:tcPr>
          <w:p>
            <w:pPr>
              <w:spacing w:line="360" w:lineRule="exac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执行全国爱国卫生运动委员会颁发的（1997）第5号文件规定的鼠、蚊、蝇、蟑螂控制标准：</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服务范围：A区、B区、C区、D区、E区5个区主建筑，会展中心红线范围内的外围区域。重点消杀区域：各办公区、B区贵宾室及会议室、B区新闻中心、垃圾池、地下停车场、A区商业区、各区域排水沟及雨水井、D区会议中心及朱槿厅。</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室内有蟑螂成虫或若虫阳性房间不超过3%，平均每间房大蠊不超过5只，小蠊不超过10只。</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有活蟑螂卵鞘房间不超过2%，平均每间房不超过4只。</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有蟑螂粪便、蜕皮等蟑迹的房间不超过5%。</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消杀服务次数：常规区域每月至少进行1次，A区商业区至少进行2次。</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使用产品要求：必须无放射性、无二次污染、无明显异味、对人体无害。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trPr>
        <w:tc>
          <w:tcPr>
            <w:tcW w:w="675" w:type="dxa"/>
            <w:vAlign w:val="center"/>
          </w:tcPr>
          <w:p>
            <w:pPr>
              <w:spacing w:line="36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bCs/>
                <w:sz w:val="21"/>
                <w:szCs w:val="21"/>
              </w:rPr>
              <w:t>除四害综合治理-</w:t>
            </w:r>
            <w:r>
              <w:rPr>
                <w:rFonts w:hint="eastAsia" w:ascii="宋体" w:hAnsi="宋体" w:eastAsia="宋体" w:cs="宋体"/>
                <w:sz w:val="21"/>
                <w:szCs w:val="21"/>
              </w:rPr>
              <w:t>灭蝇</w:t>
            </w:r>
          </w:p>
        </w:tc>
        <w:tc>
          <w:tcPr>
            <w:tcW w:w="993"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会展中心红线范围</w:t>
            </w:r>
          </w:p>
        </w:tc>
        <w:tc>
          <w:tcPr>
            <w:tcW w:w="6790" w:type="dxa"/>
          </w:tcPr>
          <w:p>
            <w:pPr>
              <w:spacing w:line="360" w:lineRule="exac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执行全国爱国卫生运动委员会颁发的（1997）第5号文件规定的鼠、蚊、蝇、蟑螂控制标准：</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服务范围：A区、B区、C区、D区、E区5个区主建筑，会展中心红线范围内的外围区域。重点消杀区域：D区会议中心及朱槿厅、各办公区、B区贵宾室及会议室、垃圾池、地下停车场、A区商业区、各区域排水沟及雨水井、A区和B区周边绿化带。</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重点单位有蝇房间不超过1%，其他单位不超过3%，平均每阳性房间不超过3只；重点单位防蝇设施不合格房间不超过5%；加工、销售直接入口食品的场所不得有蝇。</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蝇类滋生地得到有效治理，幼虫和蛹的检查不超过3%。</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消杀服务次数：常规区域每月至少进行1次，夏季（即每年5月1日至10月31日）每月至少进行2次，A区商业区视密度情况增加次数。</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使用产品要求：必须无放射性、无二次污染、无明显异味、对人体无害。</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办公区域蝇消杀必须是下午办公时间结束后或周末进行作业，A区商业区必须是门店晚上停止营业后方可作业。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Align w:val="center"/>
          </w:tcPr>
          <w:p>
            <w:pPr>
              <w:spacing w:line="36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134"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bCs/>
                <w:sz w:val="21"/>
                <w:szCs w:val="21"/>
              </w:rPr>
              <w:t>除四害综合治理-</w:t>
            </w:r>
            <w:r>
              <w:rPr>
                <w:rFonts w:hint="eastAsia" w:ascii="宋体" w:hAnsi="宋体" w:eastAsia="宋体" w:cs="宋体"/>
                <w:sz w:val="21"/>
                <w:szCs w:val="21"/>
              </w:rPr>
              <w:t>灭蚊</w:t>
            </w:r>
          </w:p>
        </w:tc>
        <w:tc>
          <w:tcPr>
            <w:tcW w:w="993"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会展中心红线范围</w:t>
            </w:r>
          </w:p>
        </w:tc>
        <w:tc>
          <w:tcPr>
            <w:tcW w:w="6790" w:type="dxa"/>
          </w:tcPr>
          <w:p>
            <w:pPr>
              <w:spacing w:line="360" w:lineRule="exact"/>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执行全国爱国卫生运动委员会颁发的（1997）第5号文件规定的鼠、蚊、蝇、蟑螂控制标准：</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服务范围：A区、B区、C区、D区、E区5个区主建筑，会展中心红线范围内的外围区域。重点消杀区域：D区会议中心及朱槿厅、各办公区、B区贵宾室及会议室、垃圾池、地下停车场、A区商业区、各区域排水沟及雨水井、A区和B区周边绿化带。</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居民住宅、单位内环境各种存水容器和积水中，蚊幼及蛹的阳性率不超过3%。</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用500毫升收集匀采集城区内大中型水体中的蚊幼或用阳性率不超过3%，阳性匀内幼虫或蛹的平均数不超过5只。</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特殊场所白天人诱蚊30分钟，平均每人次诱获成蚊数不超过1只。</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消杀服务次数：常规区域每月至少进行1次，夏季（即每年5月1日至10月31日）蚊虫繁殖期每月须进行2至3次，A区商业区视密度情况增加次数。</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采购人蓄水池投放有效长期的灭蚊药物。使用产品要求：必须无放射性、无二次污染、无明显异味、对人体无害。</w:t>
            </w:r>
          </w:p>
          <w:p>
            <w:pPr>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w:t>
            </w:r>
            <w:r>
              <w:rPr>
                <w:rFonts w:hint="eastAsia" w:ascii="宋体" w:hAnsi="宋体" w:eastAsia="宋体" w:cs="宋体"/>
                <w:sz w:val="21"/>
                <w:szCs w:val="21"/>
              </w:rPr>
              <w:t>采购人需要在室内安装灭蚊器的（30台内），服务商自行安装灭蚊器，每次消杀作业检查维护并负责清理，采购人不额外支付灭蚊器与维护费用，采购人提供安装电源。</w:t>
            </w:r>
          </w:p>
          <w:p>
            <w:pPr>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eastAsia="宋体" w:cs="宋体"/>
                <w:sz w:val="21"/>
                <w:szCs w:val="21"/>
              </w:rPr>
              <w:t>办公区域蚊消杀必须是下午办公时间结束后或周末进行作业，A区商业区必须是门店晚上停止营业后方可作业。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商</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务</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条</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款</w:t>
            </w:r>
          </w:p>
        </w:tc>
        <w:tc>
          <w:tcPr>
            <w:tcW w:w="8917" w:type="dxa"/>
            <w:gridSpan w:val="3"/>
          </w:tcPr>
          <w:p>
            <w:pPr>
              <w:shd w:val="clear" w:color="auto" w:fill="FFFFFF"/>
              <w:spacing w:line="360" w:lineRule="exact"/>
              <w:rPr>
                <w:rFonts w:hint="eastAsia" w:ascii="宋体" w:hAnsi="宋体" w:eastAsia="宋体" w:cs="宋体"/>
                <w:sz w:val="21"/>
                <w:szCs w:val="21"/>
                <w:u w:val="single"/>
              </w:rPr>
            </w:pPr>
            <w:r>
              <w:rPr>
                <w:rFonts w:hint="eastAsia" w:ascii="宋体" w:hAnsi="宋体" w:eastAsia="宋体" w:cs="宋体"/>
                <w:b/>
                <w:sz w:val="21"/>
                <w:szCs w:val="21"/>
              </w:rPr>
              <w:t>一、合同签订期：</w:t>
            </w:r>
            <w:r>
              <w:rPr>
                <w:rFonts w:hint="eastAsia" w:ascii="宋体" w:hAnsi="宋体" w:eastAsia="宋体" w:cs="宋体"/>
                <w:sz w:val="21"/>
                <w:szCs w:val="21"/>
                <w:u w:val="single"/>
              </w:rPr>
              <w:t xml:space="preserve">自成交通知书发出之日起 </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个工作日内</w:t>
            </w:r>
          </w:p>
          <w:p>
            <w:pPr>
              <w:shd w:val="clear" w:color="auto" w:fill="FFFFFF"/>
              <w:spacing w:line="360" w:lineRule="exact"/>
              <w:rPr>
                <w:rFonts w:hint="eastAsia" w:ascii="宋体" w:hAnsi="宋体" w:eastAsia="宋体" w:cs="宋体"/>
                <w:color w:val="auto"/>
                <w:sz w:val="21"/>
                <w:szCs w:val="21"/>
                <w:u w:val="single"/>
              </w:rPr>
            </w:pPr>
            <w:r>
              <w:rPr>
                <w:rFonts w:hint="eastAsia" w:ascii="宋体" w:hAnsi="宋体" w:eastAsia="宋体" w:cs="宋体"/>
                <w:b/>
                <w:sz w:val="21"/>
                <w:szCs w:val="21"/>
              </w:rPr>
              <w:t>二、提交服务成果时间：</w:t>
            </w:r>
            <w:r>
              <w:rPr>
                <w:rFonts w:hint="eastAsia" w:ascii="宋体" w:hAnsi="宋体" w:eastAsia="宋体" w:cs="宋体"/>
                <w:b w:val="0"/>
                <w:bCs/>
                <w:color w:val="auto"/>
                <w:sz w:val="21"/>
                <w:szCs w:val="21"/>
                <w:u w:val="single"/>
                <w:lang w:eastAsia="zh-CN"/>
              </w:rPr>
              <w:t>服务时间一年，</w:t>
            </w:r>
            <w:r>
              <w:rPr>
                <w:rFonts w:hint="eastAsia" w:ascii="宋体" w:hAnsi="宋体" w:eastAsia="宋体" w:cs="宋体"/>
                <w:color w:val="auto"/>
                <w:sz w:val="21"/>
                <w:szCs w:val="21"/>
                <w:u w:val="single"/>
                <w:lang w:eastAsia="zh-CN"/>
              </w:rPr>
              <w:t>拟定时间为</w:t>
            </w:r>
            <w:r>
              <w:rPr>
                <w:rFonts w:hint="eastAsia" w:ascii="宋体" w:hAnsi="宋体" w:eastAsia="宋体" w:cs="宋体"/>
                <w:color w:val="auto"/>
                <w:sz w:val="21"/>
                <w:szCs w:val="21"/>
                <w:u w:val="single"/>
                <w:lang w:val="en-US" w:eastAsia="zh-CN"/>
              </w:rPr>
              <w:t>2019年7月1日-2020年6月30日，具体时间由采购人确定</w:t>
            </w:r>
            <w:r>
              <w:rPr>
                <w:rFonts w:hint="eastAsia" w:ascii="宋体" w:hAnsi="宋体" w:eastAsia="宋体" w:cs="宋体"/>
                <w:color w:val="auto"/>
                <w:sz w:val="21"/>
                <w:szCs w:val="21"/>
                <w:u w:val="single"/>
              </w:rPr>
              <w:t>。</w:t>
            </w:r>
          </w:p>
          <w:p>
            <w:pPr>
              <w:spacing w:line="360" w:lineRule="exact"/>
              <w:rPr>
                <w:rFonts w:hint="eastAsia" w:ascii="宋体" w:hAnsi="宋体" w:eastAsia="宋体" w:cs="宋体"/>
                <w:sz w:val="21"/>
                <w:szCs w:val="21"/>
                <w:u w:val="single"/>
              </w:rPr>
            </w:pPr>
            <w:r>
              <w:rPr>
                <w:rFonts w:hint="eastAsia" w:ascii="宋体" w:hAnsi="宋体" w:eastAsia="宋体" w:cs="宋体"/>
                <w:b/>
                <w:color w:val="auto"/>
                <w:sz w:val="21"/>
                <w:szCs w:val="21"/>
              </w:rPr>
              <w:t>三、提交服务成果地点：</w:t>
            </w:r>
            <w:r>
              <w:rPr>
                <w:rFonts w:hint="eastAsia" w:ascii="宋体" w:hAnsi="宋体" w:eastAsia="宋体" w:cs="宋体"/>
                <w:color w:val="auto"/>
                <w:sz w:val="21"/>
                <w:szCs w:val="21"/>
                <w:u w:val="single"/>
              </w:rPr>
              <w:t>南宁国</w:t>
            </w:r>
            <w:r>
              <w:rPr>
                <w:rFonts w:hint="eastAsia" w:ascii="宋体" w:hAnsi="宋体" w:eastAsia="宋体" w:cs="宋体"/>
                <w:sz w:val="21"/>
                <w:szCs w:val="21"/>
                <w:u w:val="single"/>
              </w:rPr>
              <w:t>际会展中心</w:t>
            </w:r>
          </w:p>
          <w:p>
            <w:pPr>
              <w:spacing w:line="360" w:lineRule="exact"/>
              <w:rPr>
                <w:rFonts w:hint="eastAsia" w:ascii="宋体" w:hAnsi="宋体" w:eastAsia="宋体" w:cs="宋体"/>
                <w:b/>
                <w:sz w:val="21"/>
                <w:szCs w:val="21"/>
              </w:rPr>
            </w:pPr>
            <w:r>
              <w:rPr>
                <w:rFonts w:hint="eastAsia" w:ascii="宋体" w:hAnsi="宋体" w:eastAsia="宋体" w:cs="宋体"/>
                <w:b/>
                <w:sz w:val="21"/>
                <w:szCs w:val="21"/>
              </w:rPr>
              <w:t>四、售后服务要求：</w:t>
            </w:r>
          </w:p>
          <w:p>
            <w:pPr>
              <w:spacing w:line="36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w:t>
            </w:r>
            <w:r>
              <w:rPr>
                <w:rFonts w:hint="eastAsia" w:ascii="宋体" w:hAnsi="宋体" w:eastAsia="宋体" w:cs="宋体"/>
                <w:sz w:val="21"/>
                <w:szCs w:val="21"/>
              </w:rPr>
              <w:t>质量保证期：与提交服务成果时间相同。</w:t>
            </w:r>
          </w:p>
          <w:p>
            <w:pPr>
              <w:spacing w:line="36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w:t>
            </w:r>
            <w:r>
              <w:rPr>
                <w:rFonts w:hint="eastAsia" w:ascii="宋体" w:hAnsi="宋体" w:eastAsia="宋体" w:cs="宋体"/>
                <w:sz w:val="21"/>
                <w:szCs w:val="21"/>
              </w:rPr>
              <w:t>处理问题响应时间：接到采购人处理问题通知后</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2 </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小时内到达采购人指定现场。</w:t>
            </w:r>
          </w:p>
          <w:p>
            <w:pPr>
              <w:spacing w:line="360" w:lineRule="exac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w:t>
            </w:r>
            <w:r>
              <w:rPr>
                <w:rFonts w:hint="eastAsia" w:ascii="宋体" w:hAnsi="宋体" w:eastAsia="宋体" w:cs="宋体"/>
                <w:sz w:val="21"/>
                <w:szCs w:val="21"/>
              </w:rPr>
              <w:t>为保障2019年中国—东盟博览会等重要展会活动期间杀灭“四害”密度达标，成交人需在重大展会活动开幕式前30日制定消杀工作计划，并上报采购人审批同意后组织安排集中灭杀四害。全部工作要在中国—东盟博览会开幕前2天或重大活动前1天内完成，确保灭杀四害达标。</w:t>
            </w:r>
          </w:p>
          <w:p>
            <w:pPr>
              <w:spacing w:line="360" w:lineRule="exact"/>
              <w:ind w:right="-141" w:rightChars="-67"/>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val="en-US" w:eastAsia="zh-CN"/>
              </w:rPr>
              <w:t>.</w:t>
            </w:r>
            <w:r>
              <w:rPr>
                <w:rFonts w:hint="eastAsia" w:ascii="宋体" w:hAnsi="宋体" w:eastAsia="宋体" w:cs="宋体"/>
                <w:sz w:val="21"/>
                <w:szCs w:val="21"/>
              </w:rPr>
              <w:t>在中国—东盟博览会期间成交人提供不少于</w:t>
            </w:r>
            <w:r>
              <w:rPr>
                <w:rFonts w:hint="eastAsia" w:ascii="宋体" w:hAnsi="宋体" w:eastAsia="宋体" w:cs="宋体"/>
                <w:b/>
                <w:sz w:val="21"/>
                <w:szCs w:val="21"/>
              </w:rPr>
              <w:t>5</w:t>
            </w:r>
            <w:r>
              <w:rPr>
                <w:rFonts w:hint="eastAsia" w:ascii="宋体" w:hAnsi="宋体" w:eastAsia="宋体" w:cs="宋体"/>
                <w:sz w:val="21"/>
                <w:szCs w:val="21"/>
              </w:rPr>
              <w:t>名工作人员现场保全，保证会议厅（室）、贵宾接待室无异味，没有成蝇、成蚊飞行和老鼠、蟑螂爬行，卫生虫害综合治理区域严格控制在国家标准范围内。</w:t>
            </w:r>
          </w:p>
          <w:p>
            <w:pPr>
              <w:spacing w:line="360" w:lineRule="exac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w:t>
            </w:r>
            <w:r>
              <w:rPr>
                <w:rFonts w:hint="eastAsia" w:ascii="宋体" w:hAnsi="宋体" w:eastAsia="宋体" w:cs="宋体"/>
                <w:sz w:val="21"/>
                <w:szCs w:val="21"/>
              </w:rPr>
              <w:t>采购人指定的重点区域，成交人需加大灭前灭后密度调查及消杀力度。</w:t>
            </w:r>
          </w:p>
          <w:p>
            <w:pPr>
              <w:spacing w:line="360" w:lineRule="exac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w:t>
            </w:r>
            <w:r>
              <w:rPr>
                <w:rFonts w:hint="eastAsia" w:ascii="宋体" w:hAnsi="宋体" w:eastAsia="宋体" w:cs="宋体"/>
                <w:sz w:val="21"/>
                <w:szCs w:val="21"/>
              </w:rPr>
              <w:t>成交人指定一位管理人员与采购人进行业务联系，在进场后一个月内熟悉所有场地、业务和工作要求，并且摸清“四害”的活动规律，提交全年的除四害消杀方案，有针对性的进行灭杀。</w:t>
            </w:r>
          </w:p>
          <w:p>
            <w:pPr>
              <w:spacing w:line="360" w:lineRule="exac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val="en-US" w:eastAsia="zh-CN"/>
              </w:rPr>
              <w:t>.</w:t>
            </w:r>
            <w:r>
              <w:rPr>
                <w:rFonts w:hint="eastAsia" w:ascii="宋体" w:hAnsi="宋体" w:eastAsia="宋体" w:cs="宋体"/>
                <w:sz w:val="21"/>
                <w:szCs w:val="21"/>
              </w:rPr>
              <w:t>经治理后，在服务期范围内的虫害密度控制在国家标准范围内。应根据季节特性、日常观察“四害”活动规律调整消杀工作开展时间、消杀工作方式和更换消杀药物以及增加消杀次数。</w:t>
            </w:r>
          </w:p>
          <w:p>
            <w:pPr>
              <w:spacing w:line="36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val="en-US" w:eastAsia="zh-CN"/>
              </w:rPr>
              <w:t>.</w:t>
            </w:r>
            <w:r>
              <w:rPr>
                <w:rFonts w:hint="eastAsia" w:ascii="宋体" w:hAnsi="宋体" w:eastAsia="宋体" w:cs="宋体"/>
                <w:sz w:val="21"/>
                <w:szCs w:val="21"/>
              </w:rPr>
              <w:t>在实施消杀工作前，成交人按照工作计划表的前一天应向采购人发出灭害的警示通知，并提供消杀使用药物的名单，物业管理部负责通知公司各部室及租户。</w:t>
            </w:r>
          </w:p>
          <w:p>
            <w:pPr>
              <w:spacing w:line="360" w:lineRule="exac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val="en-US" w:eastAsia="zh-CN"/>
              </w:rPr>
              <w:t>.</w:t>
            </w:r>
            <w:r>
              <w:rPr>
                <w:rFonts w:hint="eastAsia" w:ascii="宋体" w:hAnsi="宋体" w:eastAsia="宋体" w:cs="宋体"/>
                <w:sz w:val="21"/>
                <w:szCs w:val="21"/>
              </w:rPr>
              <w:t>成交人必须对消杀人员进行上岗前培训，培训合格人员方能上岗操作，如有更换工作人员，应及时通知采购人，培训结果以书面方式报送采购人留存。</w:t>
            </w:r>
          </w:p>
          <w:p>
            <w:pPr>
              <w:spacing w:line="360" w:lineRule="exac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val="en-US" w:eastAsia="zh-CN"/>
              </w:rPr>
              <w:t>.</w:t>
            </w:r>
            <w:r>
              <w:rPr>
                <w:rFonts w:hint="eastAsia" w:ascii="宋体" w:hAnsi="宋体" w:eastAsia="宋体" w:cs="宋体"/>
                <w:sz w:val="21"/>
                <w:szCs w:val="21"/>
              </w:rPr>
              <w:t>服务期间做好灭前灭后密度调查，并以书面形式每月5日前向采购人通报。建立系统消杀资料档案，签字盖章后于履约期满后交采购人收存。根据采购人展会排期合理制定下月工作计划表，并于每月5号前提交给采购人，如采购人需要改变作业时间的，按采购人的要求执行。</w:t>
            </w:r>
          </w:p>
          <w:p>
            <w:pPr>
              <w:spacing w:line="360" w:lineRule="exac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val="en-US" w:eastAsia="zh-CN"/>
              </w:rPr>
              <w:t>.</w:t>
            </w:r>
            <w:r>
              <w:rPr>
                <w:rFonts w:hint="eastAsia" w:ascii="宋体" w:hAnsi="宋体" w:eastAsia="宋体" w:cs="宋体"/>
                <w:sz w:val="21"/>
                <w:szCs w:val="21"/>
              </w:rPr>
              <w:t>因消杀工作的特殊性，成交人必须做好防护措施，确保实施消杀工作人员的人身安全及消杀设施的正常安全使用。</w:t>
            </w:r>
          </w:p>
          <w:p>
            <w:pPr>
              <w:spacing w:line="360" w:lineRule="exact"/>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val="en-US" w:eastAsia="zh-CN"/>
              </w:rPr>
              <w:t>.</w:t>
            </w:r>
            <w:r>
              <w:rPr>
                <w:rFonts w:hint="eastAsia" w:ascii="宋体" w:hAnsi="宋体" w:eastAsia="宋体" w:cs="宋体"/>
                <w:sz w:val="21"/>
                <w:szCs w:val="21"/>
              </w:rPr>
              <w:t>四项消杀工作在同一天内全面开展实施，为了便于采购人跟进消杀工作，一般分为上午完成其中两个消杀项目工作，下午完成另外两个消杀项目工作。</w:t>
            </w:r>
          </w:p>
          <w:p>
            <w:pPr>
              <w:spacing w:line="360" w:lineRule="exac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val="en-US" w:eastAsia="zh-CN"/>
              </w:rPr>
              <w:t>.</w:t>
            </w:r>
            <w:r>
              <w:rPr>
                <w:rFonts w:hint="eastAsia" w:ascii="宋体" w:hAnsi="宋体" w:eastAsia="宋体" w:cs="宋体"/>
                <w:sz w:val="21"/>
                <w:szCs w:val="21"/>
              </w:rPr>
              <w:t>竞标文件中提供消杀药品有效的农药登记证或农药临时登记证、农药生产许可证或农药生产批准文件、产品质量标准或产品质量合格证或农药执行标准备案登记证的复印件（加盖单位公章）。</w:t>
            </w:r>
          </w:p>
          <w:p>
            <w:pPr>
              <w:spacing w:line="360" w:lineRule="exac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val="en-US" w:eastAsia="zh-CN"/>
              </w:rPr>
              <w:t>.</w:t>
            </w:r>
            <w:r>
              <w:rPr>
                <w:rFonts w:hint="eastAsia" w:ascii="宋体" w:hAnsi="宋体" w:eastAsia="宋体" w:cs="宋体"/>
                <w:sz w:val="21"/>
                <w:szCs w:val="21"/>
              </w:rPr>
              <w:t>及时处理消杀垃圾，不能造成二次污染，保证环境卫生整洁。</w:t>
            </w:r>
          </w:p>
          <w:p>
            <w:pPr>
              <w:spacing w:line="360" w:lineRule="exact"/>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val="en-US" w:eastAsia="zh-CN"/>
              </w:rPr>
              <w:t>.</w:t>
            </w:r>
            <w:r>
              <w:rPr>
                <w:rFonts w:hint="eastAsia" w:ascii="宋体" w:hAnsi="宋体" w:eastAsia="宋体" w:cs="宋体"/>
                <w:sz w:val="21"/>
                <w:szCs w:val="21"/>
              </w:rPr>
              <w:t>消杀工作人员必须遵守采购人的规章制度，统一着装、文明施工，并应在不影响采购人正常工作的情况下进行施工。</w:t>
            </w:r>
          </w:p>
          <w:p>
            <w:pPr>
              <w:spacing w:line="360" w:lineRule="exact"/>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cs="宋体"/>
                <w:sz w:val="21"/>
                <w:szCs w:val="21"/>
                <w:lang w:val="en-US" w:eastAsia="zh-CN"/>
              </w:rPr>
              <w:t>.</w:t>
            </w:r>
            <w:r>
              <w:rPr>
                <w:rFonts w:hint="eastAsia" w:ascii="宋体" w:hAnsi="宋体" w:eastAsia="宋体" w:cs="宋体"/>
                <w:sz w:val="21"/>
                <w:szCs w:val="21"/>
              </w:rPr>
              <w:t>消杀工作期间不得损坏采购人物品，如有损坏，须赔偿采购人损失。</w:t>
            </w:r>
          </w:p>
          <w:p>
            <w:pPr>
              <w:spacing w:line="360" w:lineRule="exact"/>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cs="宋体"/>
                <w:sz w:val="21"/>
                <w:szCs w:val="21"/>
                <w:lang w:val="en-US" w:eastAsia="zh-CN"/>
              </w:rPr>
              <w:t>.</w:t>
            </w:r>
            <w:r>
              <w:rPr>
                <w:rFonts w:hint="eastAsia" w:ascii="宋体" w:hAnsi="宋体" w:eastAsia="宋体" w:cs="宋体"/>
                <w:sz w:val="21"/>
                <w:szCs w:val="21"/>
              </w:rPr>
              <w:t>应积极配合采购人完成开展的各项爱国卫生运动的临检工作，如需增加消杀工作时，接到采购人通知立即开展工作，否则所造成的后果由成交人负责，增加消杀工作的费用包含在合同金额中。</w:t>
            </w:r>
          </w:p>
          <w:p>
            <w:pPr>
              <w:spacing w:line="360" w:lineRule="exact"/>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cs="宋体"/>
                <w:sz w:val="21"/>
                <w:szCs w:val="21"/>
                <w:lang w:val="en-US" w:eastAsia="zh-CN"/>
              </w:rPr>
              <w:t>.</w:t>
            </w:r>
            <w:r>
              <w:rPr>
                <w:rFonts w:hint="eastAsia" w:ascii="宋体" w:hAnsi="宋体" w:eastAsia="宋体" w:cs="宋体"/>
                <w:sz w:val="21"/>
                <w:szCs w:val="21"/>
              </w:rPr>
              <w:t>如不能按时完成消杀服务工作，采购人另行找其他单位完成的，所造成的损失由成交人负责。出现此类情况时成交人除承担上述全部费用外，采购人将对成交人实以经济处罚，第一次罚款1000元，第二次2000元，第三次3000元，同时采购人建议取消成交人参加我集团公司采购活动。</w:t>
            </w:r>
          </w:p>
          <w:p>
            <w:pPr>
              <w:spacing w:line="360" w:lineRule="exact"/>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cs="宋体"/>
                <w:sz w:val="21"/>
                <w:szCs w:val="21"/>
                <w:lang w:val="en-US" w:eastAsia="zh-CN"/>
              </w:rPr>
              <w:t>.</w:t>
            </w:r>
            <w:r>
              <w:rPr>
                <w:rFonts w:hint="eastAsia" w:ascii="宋体" w:hAnsi="宋体" w:eastAsia="宋体" w:cs="宋体"/>
                <w:sz w:val="21"/>
                <w:szCs w:val="21"/>
              </w:rPr>
              <w:t>成交人需提交施工服务人员花名册及身份证复印件到采购人处审核备案，每次施工前按工作方案或者工作计划到采购人处办理临时施工证后方可进场施工。</w:t>
            </w:r>
          </w:p>
          <w:p>
            <w:pPr>
              <w:spacing w:line="360" w:lineRule="exac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cs="宋体"/>
                <w:sz w:val="21"/>
                <w:szCs w:val="21"/>
                <w:lang w:val="en-US" w:eastAsia="zh-CN"/>
              </w:rPr>
              <w:t>.</w:t>
            </w:r>
            <w:r>
              <w:rPr>
                <w:rFonts w:hint="eastAsia" w:ascii="宋体" w:hAnsi="宋体" w:eastAsia="宋体" w:cs="宋体"/>
                <w:sz w:val="21"/>
                <w:szCs w:val="21"/>
              </w:rPr>
              <w:t>成交人遵循采购人现行ISO9001：2008质量标准认证体系，服从采购人现场规范管理，遵守采购人“灭四害”消杀单位管理程序和采购人《外包方管理程序》，根据采购人要求提供合格的服务，并按时提供成果报告及进度表。</w:t>
            </w:r>
          </w:p>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五、对合同条款的调整</w:t>
            </w:r>
          </w:p>
          <w:p>
            <w:pPr>
              <w:spacing w:line="360" w:lineRule="exact"/>
              <w:rPr>
                <w:rFonts w:hint="eastAsia" w:ascii="宋体" w:hAnsi="宋体" w:eastAsia="宋体" w:cs="宋体"/>
                <w:bCs/>
                <w:sz w:val="21"/>
                <w:szCs w:val="21"/>
              </w:rPr>
            </w:pPr>
            <w:r>
              <w:rPr>
                <w:rFonts w:hint="eastAsia" w:ascii="宋体" w:hAnsi="宋体" w:eastAsia="宋体" w:cs="宋体"/>
                <w:bCs/>
                <w:sz w:val="21"/>
                <w:szCs w:val="21"/>
              </w:rPr>
              <w:t>成交人未按照采购人管理规定和合同要求的，采购人将依据违约情况对成交人给予相应的处理措施：</w:t>
            </w:r>
          </w:p>
          <w:p>
            <w:pPr>
              <w:spacing w:line="36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w:t>
            </w:r>
            <w:r>
              <w:rPr>
                <w:rFonts w:hint="eastAsia" w:ascii="宋体" w:hAnsi="宋体" w:eastAsia="宋体" w:cs="宋体"/>
                <w:sz w:val="21"/>
                <w:szCs w:val="21"/>
              </w:rPr>
              <w:t>每次消杀不统一工作服的，每人每次处罚50元。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w:t>
            </w:r>
            <w:r>
              <w:rPr>
                <w:rFonts w:hint="eastAsia" w:ascii="宋体" w:hAnsi="宋体" w:eastAsia="宋体" w:cs="宋体"/>
                <w:sz w:val="21"/>
                <w:szCs w:val="21"/>
              </w:rPr>
              <w:t>超出服务响应时间二十四个小时，每次处罚200元。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w:t>
            </w:r>
            <w:r>
              <w:rPr>
                <w:rFonts w:hint="eastAsia" w:ascii="宋体" w:hAnsi="宋体" w:eastAsia="宋体" w:cs="宋体"/>
                <w:sz w:val="21"/>
                <w:szCs w:val="21"/>
              </w:rPr>
              <w:t>采购人布置工作未完成的，每次每项处罚200元。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val="en-US" w:eastAsia="zh-CN"/>
              </w:rPr>
              <w:t>.</w:t>
            </w:r>
            <w:r>
              <w:rPr>
                <w:rFonts w:hint="eastAsia" w:ascii="宋体" w:hAnsi="宋体" w:eastAsia="宋体" w:cs="宋体"/>
                <w:sz w:val="21"/>
                <w:szCs w:val="21"/>
              </w:rPr>
              <w:t>未按时提交工作计划表、工作总结及灭前灭后调查表的，每次每项处罚200元。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w:t>
            </w:r>
            <w:r>
              <w:rPr>
                <w:rFonts w:hint="eastAsia" w:ascii="宋体" w:hAnsi="宋体" w:eastAsia="宋体" w:cs="宋体"/>
                <w:sz w:val="21"/>
                <w:szCs w:val="21"/>
              </w:rPr>
              <w:t>每次消杀前一天未发出警示通知直接作业的，每次处罚300元。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w:t>
            </w:r>
            <w:r>
              <w:rPr>
                <w:rFonts w:hint="eastAsia" w:ascii="宋体" w:hAnsi="宋体" w:eastAsia="宋体" w:cs="宋体"/>
                <w:sz w:val="21"/>
                <w:szCs w:val="21"/>
              </w:rPr>
              <w:t>未提交使用药物名单的，处罚500元，违规使用药物的，每次处罚500元。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val="en-US" w:eastAsia="zh-CN"/>
              </w:rPr>
              <w:t>.</w:t>
            </w:r>
            <w:r>
              <w:rPr>
                <w:rFonts w:hint="eastAsia" w:ascii="宋体" w:hAnsi="宋体" w:eastAsia="宋体" w:cs="宋体"/>
                <w:sz w:val="21"/>
                <w:szCs w:val="21"/>
              </w:rPr>
              <w:t>不及时清理消杀垃圾，每处处罚50元。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val="en-US" w:eastAsia="zh-CN"/>
              </w:rPr>
              <w:t>.</w:t>
            </w:r>
            <w:r>
              <w:rPr>
                <w:rFonts w:hint="eastAsia" w:ascii="宋体" w:hAnsi="宋体" w:eastAsia="宋体" w:cs="宋体"/>
                <w:sz w:val="21"/>
                <w:szCs w:val="21"/>
              </w:rPr>
              <w:t>未达到合同各项目消杀次数的，每个项目缺少1次处罚2000元。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val="en-US" w:eastAsia="zh-CN"/>
              </w:rPr>
              <w:t>.</w:t>
            </w:r>
            <w:r>
              <w:rPr>
                <w:rFonts w:hint="eastAsia" w:ascii="宋体" w:hAnsi="宋体" w:eastAsia="宋体" w:cs="宋体"/>
                <w:sz w:val="21"/>
                <w:szCs w:val="21"/>
              </w:rPr>
              <w:t>损坏采购人物品的，成交人按造价赔偿或者恢复。</w:t>
            </w:r>
          </w:p>
          <w:p>
            <w:pPr>
              <w:spacing w:line="360" w:lineRule="exac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val="en-US" w:eastAsia="zh-CN"/>
              </w:rPr>
              <w:t>.</w:t>
            </w:r>
            <w:r>
              <w:rPr>
                <w:rFonts w:hint="eastAsia" w:ascii="宋体" w:hAnsi="宋体" w:eastAsia="宋体" w:cs="宋体"/>
                <w:sz w:val="21"/>
                <w:szCs w:val="21"/>
              </w:rPr>
              <w:t>调查评估未达到消杀效果的，每次每项处罚500元。</w:t>
            </w:r>
          </w:p>
          <w:p>
            <w:pPr>
              <w:spacing w:line="360" w:lineRule="exac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val="en-US" w:eastAsia="zh-CN"/>
              </w:rPr>
              <w:t>.</w:t>
            </w:r>
            <w:r>
              <w:rPr>
                <w:rFonts w:hint="eastAsia" w:ascii="宋体" w:hAnsi="宋体" w:eastAsia="宋体" w:cs="宋体"/>
                <w:sz w:val="21"/>
                <w:szCs w:val="21"/>
              </w:rPr>
              <w:t>采购人每月灭四害评分表总评分低于80分的，处罚1000元。累计3次以上低于80分的，采购人有权取消合同，造成的损失由成交人自行承担。</w:t>
            </w:r>
          </w:p>
          <w:p>
            <w:pPr>
              <w:spacing w:line="360" w:lineRule="exact"/>
              <w:rPr>
                <w:rFonts w:hint="eastAsia" w:ascii="宋体" w:hAnsi="宋体" w:eastAsia="宋体" w:cs="宋体"/>
                <w:b/>
                <w:sz w:val="21"/>
                <w:szCs w:val="21"/>
              </w:rPr>
            </w:pPr>
            <w:r>
              <w:rPr>
                <w:rFonts w:hint="eastAsia" w:ascii="宋体" w:hAnsi="宋体" w:eastAsia="宋体" w:cs="宋体"/>
                <w:b/>
                <w:sz w:val="21"/>
                <w:szCs w:val="21"/>
              </w:rPr>
              <w:t>六、其他要求：</w:t>
            </w:r>
          </w:p>
          <w:p>
            <w:pPr>
              <w:widowControl w:val="0"/>
              <w:numPr>
                <w:ilvl w:val="0"/>
                <w:numId w:val="0"/>
              </w:numPr>
              <w:adjustRightInd/>
              <w:snapToGrid/>
              <w:spacing w:after="0" w:line="360" w:lineRule="exact"/>
              <w:ind w:leftChars="0"/>
              <w:jc w:val="both"/>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报价包含以下部分：</w:t>
            </w:r>
          </w:p>
          <w:p>
            <w:pPr>
              <w:tabs>
                <w:tab w:val="left" w:pos="360"/>
              </w:tabs>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服务的价格；</w:t>
            </w:r>
          </w:p>
          <w:p>
            <w:pPr>
              <w:tabs>
                <w:tab w:val="left" w:pos="360"/>
              </w:tabs>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必要的保险费用和各项税金；</w:t>
            </w:r>
          </w:p>
          <w:p>
            <w:pPr>
              <w:tabs>
                <w:tab w:val="left" w:pos="0"/>
                <w:tab w:val="left" w:pos="360"/>
              </w:tabs>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人工工资、加班费、交通费、行政费用及培训费；</w:t>
            </w:r>
          </w:p>
          <w:p>
            <w:pPr>
              <w:tabs>
                <w:tab w:val="left" w:pos="0"/>
                <w:tab w:val="left" w:pos="360"/>
              </w:tabs>
              <w:spacing w:line="36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设备费用、药物费用等费用。</w:t>
            </w:r>
          </w:p>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w:t>
            </w:r>
            <w:r>
              <w:rPr>
                <w:rFonts w:hint="eastAsia" w:ascii="宋体" w:hAnsi="宋体" w:eastAsia="宋体" w:cs="宋体"/>
                <w:sz w:val="21"/>
                <w:szCs w:val="21"/>
              </w:rPr>
              <w:t>付款方式：本项目无预付款，服务商所提交服务经</w:t>
            </w:r>
            <w:r>
              <w:rPr>
                <w:rFonts w:hint="eastAsia" w:ascii="宋体" w:hAnsi="宋体" w:eastAsia="宋体" w:cs="宋体"/>
                <w:sz w:val="21"/>
                <w:szCs w:val="21"/>
                <w:lang w:eastAsia="zh-CN"/>
              </w:rPr>
              <w:t>采购人</w:t>
            </w:r>
            <w:r>
              <w:rPr>
                <w:rFonts w:hint="eastAsia" w:ascii="宋体" w:hAnsi="宋体" w:eastAsia="宋体" w:cs="宋体"/>
                <w:sz w:val="21"/>
                <w:szCs w:val="21"/>
              </w:rPr>
              <w:t>验收合格</w:t>
            </w:r>
            <w:r>
              <w:rPr>
                <w:rFonts w:hint="eastAsia" w:ascii="宋体" w:hAnsi="宋体" w:eastAsia="宋体" w:cs="宋体"/>
                <w:sz w:val="21"/>
                <w:szCs w:val="21"/>
                <w:lang w:eastAsia="zh-CN"/>
              </w:rPr>
              <w:t>并提供合格有效发票，采购人每半年付一次款，</w:t>
            </w:r>
            <w:r>
              <w:rPr>
                <w:rFonts w:hint="eastAsia" w:ascii="宋体" w:hAnsi="宋体" w:eastAsia="宋体" w:cs="宋体"/>
                <w:sz w:val="21"/>
                <w:szCs w:val="21"/>
              </w:rPr>
              <w:t>分二次付</w:t>
            </w:r>
            <w:r>
              <w:rPr>
                <w:rFonts w:hint="eastAsia" w:ascii="宋体" w:hAnsi="宋体" w:eastAsia="宋体" w:cs="宋体"/>
                <w:sz w:val="21"/>
                <w:szCs w:val="21"/>
                <w:lang w:eastAsia="zh-CN"/>
              </w:rPr>
              <w:t>清合同款</w:t>
            </w:r>
            <w:r>
              <w:rPr>
                <w:rFonts w:hint="eastAsia" w:ascii="宋体" w:hAnsi="宋体" w:eastAsia="宋体" w:cs="宋体"/>
                <w:sz w:val="21"/>
                <w:szCs w:val="21"/>
                <w:lang w:val="en-US" w:eastAsia="zh-CN"/>
              </w:rPr>
              <w:t>,按实际服务时间结算。</w:t>
            </w:r>
          </w:p>
          <w:p>
            <w:pPr>
              <w:spacing w:line="360" w:lineRule="exact"/>
              <w:jc w:val="center"/>
              <w:rPr>
                <w:rFonts w:hint="eastAsia" w:ascii="宋体" w:hAnsi="宋体" w:eastAsia="宋体" w:cs="宋体"/>
                <w:b/>
                <w:sz w:val="21"/>
                <w:szCs w:val="21"/>
              </w:rPr>
            </w:pPr>
          </w:p>
          <w:p>
            <w:pPr>
              <w:spacing w:line="360" w:lineRule="exact"/>
              <w:jc w:val="center"/>
              <w:rPr>
                <w:rFonts w:hint="eastAsia" w:ascii="宋体" w:hAnsi="宋体" w:eastAsia="宋体" w:cs="宋体"/>
                <w:b/>
                <w:sz w:val="21"/>
                <w:szCs w:val="21"/>
              </w:rPr>
            </w:pPr>
          </w:p>
          <w:p>
            <w:pPr>
              <w:spacing w:line="360" w:lineRule="exact"/>
              <w:jc w:val="center"/>
              <w:rPr>
                <w:rFonts w:hint="eastAsia" w:ascii="宋体" w:hAnsi="宋体" w:eastAsia="宋体" w:cs="宋体"/>
                <w:b/>
                <w:sz w:val="21"/>
                <w:szCs w:val="21"/>
              </w:rPr>
            </w:pPr>
          </w:p>
          <w:p>
            <w:pPr>
              <w:spacing w:line="360" w:lineRule="exact"/>
              <w:jc w:val="center"/>
              <w:rPr>
                <w:rFonts w:hint="eastAsia" w:ascii="宋体" w:hAnsi="宋体" w:eastAsia="宋体" w:cs="宋体"/>
                <w:b/>
                <w:sz w:val="21"/>
                <w:szCs w:val="21"/>
              </w:rPr>
            </w:pPr>
          </w:p>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“灭四害”消杀单位管理程序</w:t>
            </w:r>
          </w:p>
          <w:p>
            <w:pPr>
              <w:spacing w:line="360" w:lineRule="exact"/>
              <w:rPr>
                <w:rFonts w:hint="eastAsia" w:ascii="宋体" w:hAnsi="宋体" w:eastAsia="宋体" w:cs="宋体"/>
                <w:b/>
                <w:sz w:val="21"/>
                <w:szCs w:val="21"/>
              </w:rPr>
            </w:pPr>
            <w:r>
              <w:rPr>
                <w:rFonts w:hint="eastAsia" w:ascii="宋体" w:hAnsi="宋体" w:eastAsia="宋体" w:cs="宋体"/>
                <w:b/>
                <w:sz w:val="21"/>
                <w:szCs w:val="21"/>
              </w:rPr>
              <w:t>1.目的</w:t>
            </w:r>
          </w:p>
          <w:p>
            <w:pPr>
              <w:spacing w:line="360" w:lineRule="exact"/>
              <w:rPr>
                <w:rFonts w:hint="eastAsia" w:ascii="宋体" w:hAnsi="宋体" w:eastAsia="宋体" w:cs="宋体"/>
                <w:sz w:val="21"/>
                <w:szCs w:val="21"/>
              </w:rPr>
            </w:pPr>
            <w:r>
              <w:rPr>
                <w:rFonts w:hint="eastAsia" w:ascii="宋体" w:hAnsi="宋体" w:eastAsia="宋体" w:cs="宋体"/>
                <w:sz w:val="21"/>
                <w:szCs w:val="21"/>
              </w:rPr>
              <w:t>为规范“灭四害”消杀单位日常服务管理，提高展会、办公环境卫生，减少疾病传播，制定本程序。</w:t>
            </w:r>
          </w:p>
          <w:p>
            <w:pPr>
              <w:spacing w:line="360" w:lineRule="exact"/>
              <w:rPr>
                <w:rFonts w:hint="eastAsia" w:ascii="宋体" w:hAnsi="宋体" w:eastAsia="宋体" w:cs="宋体"/>
                <w:b/>
                <w:sz w:val="21"/>
                <w:szCs w:val="21"/>
              </w:rPr>
            </w:pPr>
            <w:r>
              <w:rPr>
                <w:rFonts w:hint="eastAsia" w:ascii="宋体" w:hAnsi="宋体" w:eastAsia="宋体" w:cs="宋体"/>
                <w:b/>
                <w:sz w:val="21"/>
                <w:szCs w:val="21"/>
              </w:rPr>
              <w:t>2.适用范围</w:t>
            </w:r>
          </w:p>
          <w:p>
            <w:pPr>
              <w:spacing w:line="360" w:lineRule="exact"/>
              <w:rPr>
                <w:rFonts w:hint="eastAsia" w:ascii="宋体" w:hAnsi="宋体" w:eastAsia="宋体" w:cs="宋体"/>
                <w:sz w:val="21"/>
                <w:szCs w:val="21"/>
              </w:rPr>
            </w:pPr>
            <w:r>
              <w:rPr>
                <w:rFonts w:hint="eastAsia" w:ascii="宋体" w:hAnsi="宋体" w:eastAsia="宋体" w:cs="宋体"/>
                <w:sz w:val="21"/>
                <w:szCs w:val="21"/>
              </w:rPr>
              <w:t>适用于南宁国际会展中心红线范围内区域。 </w:t>
            </w:r>
          </w:p>
          <w:p>
            <w:pPr>
              <w:numPr>
                <w:ilvl w:val="0"/>
                <w:numId w:val="0"/>
              </w:numPr>
              <w:spacing w:line="360" w:lineRule="exact"/>
              <w:rPr>
                <w:rFonts w:hint="eastAsia" w:ascii="宋体" w:hAnsi="宋体" w:eastAsia="宋体" w:cs="宋体"/>
                <w:b/>
                <w:sz w:val="21"/>
                <w:szCs w:val="21"/>
              </w:rPr>
            </w:pPr>
            <w:r>
              <w:rPr>
                <w:rFonts w:hint="eastAsia" w:ascii="宋体" w:hAnsi="宋体" w:cs="宋体"/>
                <w:b/>
                <w:sz w:val="21"/>
                <w:szCs w:val="21"/>
                <w:lang w:val="en-US" w:eastAsia="zh-CN"/>
              </w:rPr>
              <w:t>3.</w:t>
            </w:r>
            <w:r>
              <w:rPr>
                <w:rFonts w:hint="eastAsia" w:ascii="宋体" w:hAnsi="宋体" w:eastAsia="宋体" w:cs="宋体"/>
                <w:b/>
                <w:sz w:val="21"/>
                <w:szCs w:val="21"/>
              </w:rPr>
              <w:t>职责</w:t>
            </w:r>
          </w:p>
          <w:p>
            <w:pPr>
              <w:numPr>
                <w:ilvl w:val="0"/>
                <w:numId w:val="0"/>
              </w:numPr>
              <w:spacing w:line="360" w:lineRule="exact"/>
              <w:rPr>
                <w:rFonts w:hint="eastAsia" w:ascii="宋体" w:hAnsi="宋体" w:eastAsia="宋体" w:cs="宋体"/>
                <w:sz w:val="21"/>
                <w:szCs w:val="21"/>
              </w:rPr>
            </w:pPr>
            <w:r>
              <w:rPr>
                <w:rFonts w:hint="eastAsia" w:ascii="宋体" w:hAnsi="宋体" w:eastAsia="宋体" w:cs="宋体"/>
                <w:sz w:val="21"/>
                <w:szCs w:val="21"/>
              </w:rPr>
              <w:t>流程负责人：物业管理部副部长</w:t>
            </w:r>
          </w:p>
          <w:p>
            <w:pPr>
              <w:widowControl w:val="0"/>
              <w:numPr>
                <w:ilvl w:val="0"/>
                <w:numId w:val="9"/>
              </w:numPr>
              <w:adjustRightInd/>
              <w:snapToGrid/>
              <w:spacing w:after="0" w:line="360" w:lineRule="exact"/>
              <w:jc w:val="both"/>
              <w:rPr>
                <w:rFonts w:hint="eastAsia" w:ascii="宋体" w:hAnsi="宋体" w:eastAsia="宋体" w:cs="宋体"/>
                <w:b/>
                <w:sz w:val="21"/>
                <w:szCs w:val="21"/>
              </w:rPr>
            </w:pPr>
            <w:r>
              <w:rPr>
                <w:rFonts w:hint="eastAsia" w:ascii="宋体" w:hAnsi="宋体" w:eastAsia="宋体" w:cs="宋体"/>
                <w:b/>
                <w:sz w:val="21"/>
                <w:szCs w:val="21"/>
              </w:rPr>
              <w:t>定义</w:t>
            </w:r>
          </w:p>
          <w:p>
            <w:pPr>
              <w:widowControl w:val="0"/>
              <w:numPr>
                <w:ilvl w:val="0"/>
                <w:numId w:val="0"/>
              </w:numPr>
              <w:adjustRightInd/>
              <w:snapToGrid/>
              <w:spacing w:after="0" w:line="360" w:lineRule="exact"/>
              <w:jc w:val="both"/>
              <w:rPr>
                <w:rFonts w:hint="eastAsia" w:ascii="宋体" w:hAnsi="宋体" w:eastAsia="宋体" w:cs="宋体"/>
                <w:b/>
                <w:sz w:val="21"/>
                <w:szCs w:val="21"/>
              </w:rPr>
            </w:pPr>
          </w:p>
          <w:p>
            <w:pPr>
              <w:spacing w:line="360" w:lineRule="exact"/>
              <w:rPr>
                <w:rFonts w:hint="eastAsia" w:ascii="宋体" w:hAnsi="宋体" w:eastAsia="宋体" w:cs="宋体"/>
                <w:b/>
                <w:sz w:val="21"/>
                <w:szCs w:val="21"/>
              </w:rPr>
            </w:pPr>
            <w:r>
              <w:rPr>
                <w:rFonts w:hint="eastAsia" w:ascii="宋体" w:hAnsi="宋体" w:eastAsia="宋体" w:cs="宋体"/>
                <w:b/>
                <w:sz w:val="21"/>
                <w:szCs w:val="21"/>
              </w:rPr>
              <w:t>5</w:t>
            </w:r>
            <w:r>
              <w:rPr>
                <w:rFonts w:hint="eastAsia" w:ascii="宋体" w:hAnsi="宋体" w:cs="宋体"/>
                <w:b/>
                <w:sz w:val="21"/>
                <w:szCs w:val="21"/>
                <w:lang w:val="en-US" w:eastAsia="zh-CN"/>
              </w:rPr>
              <w:t>.</w:t>
            </w:r>
            <w:r>
              <w:rPr>
                <w:rFonts w:hint="eastAsia" w:ascii="宋体" w:hAnsi="宋体" w:eastAsia="宋体" w:cs="宋体"/>
                <w:b/>
                <w:sz w:val="21"/>
                <w:szCs w:val="21"/>
              </w:rPr>
              <w:t>特殊情况说明</w:t>
            </w:r>
          </w:p>
          <w:p>
            <w:pPr>
              <w:spacing w:line="360" w:lineRule="exact"/>
              <w:rPr>
                <w:rFonts w:hint="eastAsia" w:ascii="宋体" w:hAnsi="宋体" w:eastAsia="宋体" w:cs="宋体"/>
                <w:b/>
                <w:sz w:val="21"/>
                <w:szCs w:val="21"/>
              </w:rPr>
            </w:pPr>
          </w:p>
          <w:p>
            <w:pPr>
              <w:spacing w:line="360" w:lineRule="exact"/>
              <w:rPr>
                <w:rFonts w:hint="eastAsia" w:ascii="宋体" w:hAnsi="宋体" w:eastAsia="宋体" w:cs="宋体"/>
                <w:b/>
                <w:sz w:val="21"/>
                <w:szCs w:val="21"/>
              </w:rPr>
            </w:pPr>
            <w:r>
              <w:rPr>
                <w:rFonts w:hint="eastAsia" w:ascii="宋体" w:hAnsi="宋体" w:eastAsia="宋体" w:cs="宋体"/>
                <w:b/>
                <w:sz w:val="21"/>
                <w:szCs w:val="21"/>
              </w:rPr>
              <w:t>6.工作程序</w:t>
            </w:r>
          </w:p>
          <w:p>
            <w:pPr>
              <w:spacing w:line="360" w:lineRule="exact"/>
              <w:rPr>
                <w:rFonts w:hint="eastAsia" w:ascii="宋体" w:hAnsi="宋体" w:eastAsia="宋体" w:cs="宋体"/>
                <w:b/>
                <w:sz w:val="21"/>
                <w:szCs w:val="21"/>
              </w:rPr>
            </w:pPr>
          </w:p>
          <w:tbl>
            <w:tblPr>
              <w:tblStyle w:val="49"/>
              <w:tblW w:w="7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09"/>
              <w:gridCol w:w="851"/>
              <w:gridCol w:w="3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b/>
                      <w:sz w:val="21"/>
                      <w:szCs w:val="21"/>
                    </w:rPr>
                  </w:pPr>
                  <w:r>
                    <w:rPr>
                      <w:rFonts w:hint="eastAsia" w:ascii="宋体" w:hAnsi="宋体" w:eastAsia="宋体" w:cs="宋体"/>
                      <w:b/>
                      <w:sz w:val="21"/>
                      <w:szCs w:val="21"/>
                    </w:rPr>
                    <w:t>流程图</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b/>
                      <w:sz w:val="21"/>
                      <w:szCs w:val="21"/>
                    </w:rPr>
                  </w:pPr>
                  <w:r>
                    <w:rPr>
                      <w:rFonts w:hint="eastAsia" w:ascii="宋体" w:hAnsi="宋体" w:eastAsia="宋体" w:cs="宋体"/>
                      <w:b/>
                      <w:sz w:val="21"/>
                      <w:szCs w:val="21"/>
                    </w:rPr>
                    <w:t>责任人</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b/>
                      <w:sz w:val="21"/>
                      <w:szCs w:val="21"/>
                    </w:rPr>
                  </w:pPr>
                  <w:r>
                    <w:rPr>
                      <w:rFonts w:hint="eastAsia" w:ascii="宋体" w:hAnsi="宋体" w:eastAsia="宋体" w:cs="宋体"/>
                      <w:b/>
                      <w:sz w:val="21"/>
                      <w:szCs w:val="21"/>
                    </w:rPr>
                    <w:t>实施部门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b/>
                      <w:sz w:val="21"/>
                      <w:szCs w:val="21"/>
                    </w:rPr>
                  </w:pPr>
                  <w:r>
                    <w:rPr>
                      <w:rFonts w:hint="eastAsia" w:ascii="宋体" w:hAnsi="宋体" w:eastAsia="宋体" w:cs="宋体"/>
                      <w:b/>
                      <w:sz w:val="21"/>
                      <w:szCs w:val="21"/>
                    </w:rPr>
                    <w:t>过程描述及注意事项</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b/>
                      <w:sz w:val="21"/>
                      <w:szCs w:val="21"/>
                    </w:rPr>
                  </w:pPr>
                  <w:r>
                    <w:rPr>
                      <w:rFonts w:hint="eastAsia" w:ascii="宋体" w:hAnsi="宋体" w:eastAsia="宋体" w:cs="宋体"/>
                      <w:b/>
                      <w:sz w:val="21"/>
                      <w:szCs w:val="21"/>
                    </w:rPr>
                    <w:t>支持性文件及记录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pict>
                      <v:rect id="矩形 10" o:spid="_x0000_s2078" o:spt="1" style="position:absolute;left:0pt;margin-left:7.4pt;margin-top:8.4pt;height:27.65pt;width:65.2pt;z-index:251660288;mso-width-relative:page;mso-height-relative:page;" coordsize="21600,21600" o:gfxdata="UEsDBAoAAAAAAIdO4kAAAAAAAAAAAAAAAAAEAAAAZHJzL1BLAwQUAAAACACHTuJANgUrs9UAAAAI&#10;AQAADwAAAGRycy9kb3ducmV2LnhtbE2PwU7DMBBE70j8g7VI3KidUEob4vQAKhLHNr1w28QmCcTr&#10;KHbawNezPcFpNJrV7Jt8O7tenOwYOk8akoUCYan2pqNGw7Hc3a1BhIhksPdkNXzbANvi+irHzPgz&#10;7e3pEBvBJRQy1NDGOGRShrq1DsPCD5Y4+/Cjw8h2bKQZ8czlrpepUivpsCP+0OJgn1tbfx0mp6Hq&#10;0iP+7MtX5Ta7+/g2l5/T+4vWtzeJegIR7Rz/juGCz+hQMFPlJzJB9OyXTB5ZV6yXfPmQgqg0PKYJ&#10;yCKX/wcUv1BLAwQUAAAACACHTuJAwKnFLPkBAAAHBAAADgAAAGRycy9lMm9Eb2MueG1srVNLjhMx&#10;EN0jcQfLe9KdQFBopTNCE8JmBCMNHKDidndb+CeXJ905DRI7DsFxENeYspMJCbBACC+ssl31quq9&#10;8vJqNJrtZEDlbM2nk5IzaYVrlO1q/vHD5tmCM4xgG9DOyprvJfKr1dMny8FXcuZ6pxsZGIFYrAZf&#10;8z5GXxUFil4awInz0tJj64KBSMfQFU2AgdCNLmZl+bIYXGh8cEIi0u368MhXGb9tpYjv2xZlZLrm&#10;VFvMe8j7Nu3FaglVF8D3ShzLgH+owoCylPQEtYYI7D6o36CMEsGha+NEOFO4tlVC5h6om2n5Szd3&#10;PXiZeyFy0J9owv8HK97tbgNTDWnHmQVDEv34/PX7ty9smskZPFbkc+dvQ2oP/Y0Tn5BZd92D7eRr&#10;9ERxCiYiiwvndMBj2NgGk8KpXzZm8vcn8uUYmaDLxWxRviCJBD09n0+n83nGhOox2AeMb6UzLBk1&#10;D5Q4Uw67G4wpPVSPLrlUp1WzUVrnQ+i21zqwHdAcbPI6ouO5m7ZsqPmr+WxOdQCNY6shkmk8EYS2&#10;y/kuIvAcuMzrT8CpsDVgfyggIyQ3qIyKMmSrl9C8sQ2Le08iWPotPBVjZMOZlvS5kpU9Iyj9N55E&#10;iLZHWQ5KJE3iuB0JJplb1+xJ/XsfVNdfqEjTlgk9/ow0zufnDPrz/6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FK7PVAAAACAEAAA8AAAAAAAAAAQAgAAAAIgAAAGRycy9kb3ducmV2LnhtbFBL&#10;AQIUABQAAAAIAIdO4kDAqcUs+QEAAAcEAAAOAAAAAAAAAAEAIAAAACQBAABkcnMvZTJvRG9jLnht&#10;bFBLBQYAAAAABgAGAFkBAACPBQAAAAA=&#10;">
                        <v:path/>
                        <v:fill focussize="0,0"/>
                        <v:stroke/>
                        <v:imagedata o:title=""/>
                        <o:lock v:ext="edit" aspectratio="t"/>
                        <v:textbox>
                          <w:txbxContent>
                            <w:p>
                              <w:pPr>
                                <w:jc w:val="center"/>
                                <w:rPr>
                                  <w:sz w:val="18"/>
                                  <w:szCs w:val="18"/>
                                </w:rPr>
                              </w:pPr>
                              <w:r>
                                <w:rPr>
                                  <w:rFonts w:hint="eastAsia"/>
                                  <w:sz w:val="18"/>
                                  <w:szCs w:val="18"/>
                                </w:rPr>
                                <w:t>供应商的确定</w:t>
                              </w:r>
                            </w:p>
                          </w:txbxContent>
                        </v:textbox>
                      </v:rect>
                    </w:pict>
                  </w:r>
                </w:p>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pict>
                      <v:shape id="自选图形 11" o:spid="_x0000_s2079" o:spt="32" type="#_x0000_t32" style="position:absolute;left:0pt;flip:x;margin-left:33.95pt;margin-top:20.9pt;height:124.1pt;width:0.05pt;z-index:251661312;mso-width-relative:page;mso-height-relative:page;" filled="f" coordsize="21600,21600">
                        <v:path arrowok="t"/>
                        <v:fill on="f" focussize="0,0"/>
                        <v:stroke endarrow="block"/>
                        <v:imagedata o:title=""/>
                        <o:lock v:ext="edit"/>
                      </v:shape>
                    </w:pict>
                  </w: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rPr>
                      <w:rFonts w:hint="eastAsia" w:ascii="宋体" w:hAnsi="宋体" w:eastAsia="宋体" w:cs="宋体"/>
                      <w:sz w:val="21"/>
                      <w:szCs w:val="21"/>
                    </w:rPr>
                  </w:pP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pict>
                      <v:rect id="矩形 12" o:spid="_x0000_s2080" o:spt="1" style="position:absolute;left:0pt;margin-left:3.7pt;margin-top:7.4pt;height:26.6pt;width:72.4pt;z-index:251662336;mso-width-relative:page;mso-height-relative:page;" coordsize="21600,21600" o:gfxdata="UEsDBAoAAAAAAIdO4kAAAAAAAAAAAAAAAAAEAAAAZHJzL1BLAwQUAAAACACHTuJA6hbMKtUAAAAH&#10;AQAADwAAAGRycy9kb3ducmV2LnhtbE2PMU/DMBSEdyT+g/WQ2KidFEEa8tIBVCTGNl3YXuJHEojt&#10;KHbawK/HnWA83enuu2K7mEGcePK9swjJSoFg2zjd2xbhWO3uMhA+kNU0OMsI3+xhW15fFZRrd7Z7&#10;Ph1CK2KJ9TkhdCGMuZS+6diQX7mRbfQ+3GQoRDm1Uk90juVmkKlSD9JQb+NCRyM/d9x8HWaDUPfp&#10;kX721asym906vC3V5/z+gnh7k6gnEIGX8BeGC35EhzIy1W622osBYb2JQYQ0i48u9n32CKJGyJIU&#10;ZFnI//zlL1BLAwQUAAAACACHTuJAgX8CM/wBAAAHBAAADgAAAGRycy9lMm9Eb2MueG1srVNLjhMx&#10;EN0jcQfLe9L5MJBppTNCE8JmBCMNHKDidndb+CeXJ905DRI7DsFxENeg7GQyycACIbywynbV86v3&#10;7MXVYDTbyoDK2YpPRmPOpBWuVrat+KeP6xdzzjCCrUE7Kyu+k8ivls+fLXpfyqnrnK5lYARisex9&#10;xbsYfVkUKDppAEfOS0uHjQsGIi1DW9QBekI3upiOx6+K3oXaByckIu2u9od8mfGbRor4oWlQRqYr&#10;TtxinkOeN2kulgso2wC+U+JAA/6BhQFl6dIj1AoisPugfoMySgSHrokj4UzhmkYJmXugbibjJ93c&#10;deBl7oXEQX+UCf8frHi/vQ1M1RWfcWbBkEU/v3z78f0rm0yTOL3HknLu/G1I7aG/ceIzMuuuO7Ct&#10;fIOeJCbjU25xlpwWeCgbmmBSOfXLhiz+7ii+HCITtHk5uXw5J4sEHc1mr+fTbE4B5UOxDxjfSWdY&#10;Cioe6OIsOWxvMKbroXxIyVSdVvVaaZ0Xod1c68C2QO9gnUdmTB2dpmnLemJyMb0gHkDPsdEQKTSe&#10;BELb5vvOKvAUeJzHn4ATsRVgtyeQEVIalEZFGXLUSajf2prFnScTLP0WnsgYWXOmJX2uFOXMCEr/&#10;TSYJou3Blr0TyZM4bAaCSeHG1Tty/94H1XZnLtJry4IefkZ6zqfrDPr4f5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oWzCrVAAAABwEAAA8AAAAAAAAAAQAgAAAAIgAAAGRycy9kb3ducmV2Lnht&#10;bFBLAQIUABQAAAAIAIdO4kCBfwIz/AEAAAcEAAAOAAAAAAAAAAEAIAAAACQBAABkcnMvZTJvRG9j&#10;LnhtbFBLBQYAAAAABgAGAFkBAACSBQAAAAA=&#10;">
                        <v:path/>
                        <v:fill focussize="0,0"/>
                        <v:stroke/>
                        <v:imagedata o:title=""/>
                        <o:lock v:ext="edit" aspectratio="t"/>
                        <v:textbox>
                          <w:txbxContent>
                            <w:p>
                              <w:pPr>
                                <w:jc w:val="center"/>
                                <w:rPr>
                                  <w:sz w:val="18"/>
                                  <w:szCs w:val="18"/>
                                </w:rPr>
                              </w:pPr>
                              <w:r>
                                <w:rPr>
                                  <w:rFonts w:hint="eastAsia"/>
                                  <w:sz w:val="18"/>
                                  <w:szCs w:val="18"/>
                                </w:rPr>
                                <w:t>制定管理方案</w:t>
                              </w:r>
                            </w:p>
                          </w:txbxContent>
                        </v:textbox>
                      </v:rect>
                    </w:pict>
                  </w: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pict>
                      <v:shape id="自选图形 13" o:spid="_x0000_s2081" o:spt="32" type="#_x0000_t32" style="position:absolute;left:0pt;flip:x;margin-left:39.2pt;margin-top:4.65pt;height:77.1pt;width:0.55pt;z-index:251663360;mso-width-relative:page;mso-height-relative:page;" filled="f" coordsize="21600,21600">
                        <v:path arrowok="t"/>
                        <v:fill on="f" focussize="0,0"/>
                        <v:stroke endarrow="block"/>
                        <v:imagedata o:title=""/>
                        <o:lock v:ext="edit"/>
                      </v:shape>
                    </w:pict>
                  </w: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pict>
                      <v:rect id="矩形 14" o:spid="_x0000_s2082" o:spt="1" style="position:absolute;left:0pt;margin-left:6.9pt;margin-top:16.7pt;height:27.9pt;width:62.65pt;z-index:251664384;mso-width-relative:page;mso-height-relative:page;" coordsize="21600,21600" o:gfxdata="UEsDBAoAAAAAAIdO4kAAAAAAAAAAAAAAAAAEAAAAZHJzL1BLAwQUAAAACACHTuJA0S+jntYAAAAI&#10;AQAADwAAAGRycy9kb3ducmV2LnhtbE2PMU/DMBSEdyT+g/WQ2KidGKEmxOkAKhJjmy7dXmKTpI2f&#10;o9hpA78ed4LxdKe774rNYgd2MZPvHSlIVgKYocbpnloFh2r7tAbmA5LGwZFR8G08bMr7uwJz7a60&#10;M5d9aFksIZ+jgi6EMefcN52x6FduNBS9LzdZDFFOLdcTXmO5HXgqxAu32FNc6HA0b51pzvvZKqj7&#10;9IA/u+pD2Gwrw+dSnebju1KPD4l4BRbMEv7CcMOP6FBGptrNpD0bopaRPCiQ8hnYzZdZAqxWsM5S&#10;4GXB/x8ofwFQSwMEFAAAAAgAh07iQOmX+037AQAABwQAAA4AAABkcnMvZTJvRG9jLnhtbK1TS44T&#10;MRDdI3EHy3vS+UwGppXOCE0ImxGMNHCAitvdbeGfXJ505zRI7DgEx0FzDcpOJiTAAiG8sMp21fOr&#10;9+zF9WA028qAytmKT0ZjzqQVrla2rfjHD+sXrzjDCLYG7ays+E4iv14+f7bofSmnrnO6loERiMWy&#10;9xXvYvRlUaDopAEcOS8tHTYuGIi0DG1RB+gJ3ehiOh5fFr0LtQ9OSETaXe0P+TLjN40U8X3ToIxM&#10;V5y4xTyHPG/SXCwXULYBfKfEgQb8AwsDytKlR6gVRGAPQf0GZZQIDl0TR8KZwjWNEjL3QN1Mxr90&#10;c9+Bl7kXEgf9USb8f7Di3fYuMFVXfM6ZBUMWPX7++v3bFza5SOL0HkvKufd3IbWH/taJT8isu+nA&#10;tvI1epKYjE+5xVlyWuChbGiCSeXULxuy+Luj+HKITNDmy6v55ZxICDqazS9ms2xOAeVTsQ8Y30pn&#10;WAoqHujiLDlsbzGm66F8SslUnVb1WmmdF6Hd3OjAtkDvYJ1HZkwdnaZpy/qKX82niQfQc2w0RAqN&#10;J4HQtvm+swo8BR7n8SfgRGwF2O0JZISUBqVRUYYcdRLqN7ZmcefJBEu/hScyRtacaUmfK0U5M4LS&#10;f5NJgmh7sGXvRPIkDpuBYFK4cfWO3H/wQbXdmYv02rKgh5+RnvPpOoP+/L/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Evo57WAAAACAEAAA8AAAAAAAAAAQAgAAAAIgAAAGRycy9kb3ducmV2Lnht&#10;bFBLAQIUABQAAAAIAIdO4kDpl/tN+wEAAAcEAAAOAAAAAAAAAAEAIAAAACUBAABkcnMvZTJvRG9j&#10;LnhtbFBLBQYAAAAABgAGAFkBAACSBQAAAAA=&#10;">
                        <v:path/>
                        <v:fill focussize="0,0"/>
                        <v:stroke/>
                        <v:imagedata o:title=""/>
                        <o:lock v:ext="edit" aspectratio="t"/>
                        <v:textbox>
                          <w:txbxContent>
                            <w:p>
                              <w:pPr>
                                <w:jc w:val="center"/>
                                <w:rPr>
                                  <w:sz w:val="18"/>
                                  <w:szCs w:val="18"/>
                                </w:rPr>
                              </w:pPr>
                              <w:r>
                                <w:rPr>
                                  <w:rFonts w:hint="eastAsia"/>
                                  <w:sz w:val="18"/>
                                  <w:szCs w:val="18"/>
                                </w:rPr>
                                <w:t>监督管理</w:t>
                              </w:r>
                            </w:p>
                          </w:txbxContent>
                        </v:textbox>
                      </v:rect>
                    </w:pict>
                  </w:r>
                </w:p>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pict>
                      <v:shape id="自选图形 15" o:spid="_x0000_s2083" o:spt="32" type="#_x0000_t32" style="position:absolute;left:0pt;margin-left:41.65pt;margin-top:23.8pt;height:193pt;width:1.45pt;z-index:251665408;mso-width-relative:page;mso-height-relative:page;" filled="f" coordsize="21600,21600" o:gfxdata="UEsDBAoAAAAAAIdO4kAAAAAAAAAAAAAAAAAEAAAAZHJzL1BLAwQUAAAACACHTuJAtcDhqtkAAAAI&#10;AQAADwAAAGRycy9kb3ducmV2LnhtbE2PzU7DMBCE70i8g7VI3KhTWllNGqcSVIhcQKJFqEc3WWKL&#10;eB3F7h9Pz3KC4+ysZr4pV2ffiyOO0QXSMJ1kIJCa0DrqNLxvn+4WIGIy1Jo+EGq4YIRVdX1VmqIN&#10;J3rD4yZ1gkMoFkaDTWkopIyNRW/iJAxI7H2G0ZvEcuxkO5oTh/te3meZkt444gZrBny02HxtDl5D&#10;Wu8uVn00D7l73T6/KPdd1/Va69ubabYEkfCc/p7hF5/RoWKmfThQG0WvQSmekvg+m4NgXy1yEHsN&#10;szyfg6xK+X9A9QNQSwMEFAAAAAgAh07iQLGSfvDkAQAAngMAAA4AAABkcnMvZTJvRG9jLnhtbK1T&#10;S44TMRDdI3EHy3vS6WgyGlrpzCJh2CCIBBygYru7Lfknl0knO3aIM7BjyR3gNiPBLSg7IeEjNohe&#10;uMuuqlf1nsuL2701bKciau9aXk+mnCknvNSub/nrV3ePbjjDBE6C8U61/KCQ3y4fPliMoVEzP3gj&#10;VWQE4rAZQ8uHlEJTVSgGZQEnPihHzs5HC4m2sa9khJHQralm0+l1NfooQ/RCIdLp+ujky4LfdUqk&#10;F12HKjHTcuotlTWWdZvXarmApo8QBi1ObcA/dGFBOyp6hlpDAvYm6j+grBbRo+/SRHhb+a7TQhUO&#10;xKae/sbm5QBBFS4kDoazTPj/YMXz3SYyLVt+zZkDS1f09d2nb2/f33/4cv/5I6vnWaIxYEORK7eJ&#10;px2GTcx89120+U9M2L7IejjLqvaJCTqsb64IhgnyzK7mdT0tsleX5BAxPVXesmy0HFME3Q9p5Z2j&#10;C/SxLtLC7hkmKk+JPxJyZePY2PLH81kuATRCnYFEpg1ECl1fctEbLe+0MTkDY79dmch2kIeifJkk&#10;4f4SlousAYdjXHEdx2VQIJ84ydIhkFyO5prnFqySnBlFzyBbBAhNAm0ukSlqcL35SzSVN466yFof&#10;1c3W1stDEb2c0xCUPk8Dm6fs533Jvjyr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wOGq2QAA&#10;AAgBAAAPAAAAAAAAAAEAIAAAACIAAABkcnMvZG93bnJldi54bWxQSwECFAAUAAAACACHTuJAsZJ+&#10;8OQBAACeAwAADgAAAAAAAAABACAAAAAoAQAAZHJzL2Uyb0RvYy54bWxQSwUGAAAAAAYABgBZAQAA&#10;fgUAAAAA&#10;">
                        <v:path arrowok="t"/>
                        <v:fill on="f" focussize="0,0"/>
                        <v:stroke endarrow="block"/>
                        <v:imagedata o:title=""/>
                        <o:lock v:ext="edit"/>
                      </v:shape>
                    </w:pict>
                  </w: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p>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pict>
                      <v:rect id="矩形 16" o:spid="_x0000_s2084" o:spt="1" style="position:absolute;left:0pt;margin-left:14.55pt;margin-top:23.25pt;height:23.9pt;width:58.15pt;z-index:251666432;mso-width-relative:page;mso-height-relative:page;" coordsize="21600,21600" o:gfxdata="UEsDBAoAAAAAAIdO4kAAAAAAAAAAAAAAAAAEAAAAZHJzL1BLAwQUAAAACACHTuJAYol2J9gAAAAK&#10;AQAADwAAAGRycy9kb3ducmV2LnhtbE2PMU/DMBCFdyT+g3VIbNSpU6o2xOkAKhJjmy5sl9gkgfgc&#10;xU4b+PVcJ9ju7j29+16+m10vznYMnScNy0UCwlLtTUeNhlO5f9iACBHJYO/Javi2AXbF7U2OmfEX&#10;OtjzMTaCQyhkqKGNccikDHVrHYaFHyyx9uFHh5HXsZFmxAuHu16qJFlLhx3xhxYH+9za+us4OQ1V&#10;p074cyhfE7fdp/FtLj+n9xet7++WyROIaOf4Z4YrPqNDwUyVn8gE0WtQSrGT79v1I4irId3wULGy&#10;WqUgi1z+r1D8AlBLAwQUAAAACACHTuJAw6PZLPwBAAAHBAAADgAAAGRycy9lMm9Eb2MueG1srVNL&#10;jhMxEN0jcQfLe6Y7iTIztNIZoQlhM4KRBg5Qcbu7LfyTy5PunAaJHYfgOIhrUHYyIQEWCOGFVbar&#10;nl+9Zy9uRqPZVgZUztZ8clFyJq1wjbJdzT+8X7+45gwj2Aa0s7LmO4n8Zvn82WLwlZy63ulGBkYg&#10;FqvB17yP0VdFgaKXBvDCeWnpsHXBQKRl6IomwEDoRhfTsrwsBhcaH5yQiLS72h/yZcZvWyniu7ZF&#10;GZmuOXGLeQ553qS5WC6g6gL4XokDDfgHFgaUpUuPUCuIwB6D+g3KKBEcujZeCGcK17ZKyNwDdTMp&#10;f+nmoQcvcy8kDvqjTPj/YMXb7X1gqqn5FWcWDFn0/dOXb18/s8llEmfwWFHOg78PqT30d058RGbd&#10;bQ+2k6/Qk8RkfMotzpLTAg9lYxtMKqd+2ZjF3x3Fl2NkgjavZtfzcs6ZoKNZOZvPsjkFVE/FPmB8&#10;I51hKah5oIuz5LC9w5iuh+opJVN1WjVrpXVehG5zqwPbAr2DdR6ZMXV0mqYtG2r+cj5NPICeY6sh&#10;Umg8CYS2y/edVeApcJnHn4ATsRVgvyeQEVIaVEZFGXLUS2he24bFnScTLP0WnsgY2XCmJX2uFOXM&#10;CEr/TSYJou3Blr0TyZM4bkaCSeHGNTty/9EH1fVnLtJry4IefkZ6zqfrDPrz/y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KJdifYAAAACgEAAA8AAAAAAAAAAQAgAAAAIgAAAGRycy9kb3ducmV2&#10;LnhtbFBLAQIUABQAAAAIAIdO4kDDo9ks/AEAAAcEAAAOAAAAAAAAAAEAIAAAACcBAABkcnMvZTJv&#10;RG9jLnhtbFBLBQYAAAAABgAGAFkBAACVBQAAAAA=&#10;">
                        <v:path/>
                        <v:fill focussize="0,0"/>
                        <v:stroke/>
                        <v:imagedata o:title=""/>
                        <o:lock v:ext="edit" aspectratio="t"/>
                        <v:textbox>
                          <w:txbxContent>
                            <w:p>
                              <w:pPr>
                                <w:jc w:val="center"/>
                                <w:rPr>
                                  <w:sz w:val="18"/>
                                  <w:szCs w:val="18"/>
                                </w:rPr>
                              </w:pPr>
                              <w:r>
                                <w:rPr>
                                  <w:rFonts w:hint="eastAsia"/>
                                  <w:sz w:val="18"/>
                                  <w:szCs w:val="18"/>
                                </w:rPr>
                                <w:t>资料存档</w:t>
                              </w:r>
                            </w:p>
                          </w:txbxContent>
                        </v:textbox>
                      </v:rect>
                    </w:pic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t>副部长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t>物业管理部</w:t>
                  </w:r>
                </w:p>
              </w:tc>
              <w:tc>
                <w:tcPr>
                  <w:tcW w:w="34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textAlignment w:val="bottom"/>
                    <w:rPr>
                      <w:rFonts w:hint="eastAsia" w:ascii="宋体" w:hAnsi="宋体" w:eastAsia="宋体" w:cs="宋体"/>
                      <w:sz w:val="21"/>
                      <w:szCs w:val="21"/>
                    </w:rPr>
                  </w:pPr>
                  <w:r>
                    <w:rPr>
                      <w:rFonts w:hint="eastAsia" w:ascii="宋体" w:hAnsi="宋体" w:eastAsia="宋体" w:cs="宋体"/>
                      <w:sz w:val="21"/>
                      <w:szCs w:val="21"/>
                    </w:rPr>
                    <w:t>1.合作供应商的确定，如通过招投标的，由公司综合部统一采购；非公司统一采购的由物业管理部选定后报公司领导审批确定。</w:t>
                  </w:r>
                </w:p>
                <w:p>
                  <w:pPr>
                    <w:autoSpaceDE w:val="0"/>
                    <w:autoSpaceDN w:val="0"/>
                    <w:spacing w:line="360" w:lineRule="exact"/>
                    <w:textAlignment w:val="bottom"/>
                    <w:rPr>
                      <w:rFonts w:hint="eastAsia" w:ascii="宋体" w:hAnsi="宋体" w:eastAsia="宋体" w:cs="宋体"/>
                      <w:sz w:val="21"/>
                      <w:szCs w:val="21"/>
                    </w:rPr>
                  </w:pPr>
                  <w:r>
                    <w:rPr>
                      <w:rFonts w:hint="eastAsia" w:ascii="宋体" w:hAnsi="宋体" w:eastAsia="宋体" w:cs="宋体"/>
                      <w:sz w:val="21"/>
                      <w:szCs w:val="21"/>
                    </w:rPr>
                    <w:t>2.合作供应商确定后由物业管理部负责将供应商基本资料、合同主要内容提供至综合部备案。</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spacing w:line="360" w:lineRule="exact"/>
                    <w:jc w:val="center"/>
                    <w:rPr>
                      <w:rFonts w:hint="eastAsia" w:ascii="宋体" w:hAnsi="宋体" w:eastAsia="宋体" w:cs="宋体"/>
                      <w:szCs w:val="21"/>
                    </w:rPr>
                  </w:pPr>
                  <w:r>
                    <w:rPr>
                      <w:rFonts w:hint="eastAsia" w:ascii="宋体" w:hAnsi="宋体" w:eastAsia="宋体" w:cs="宋体"/>
                      <w:szCs w:val="21"/>
                    </w:rPr>
                    <w:t>《合同》</w:t>
                  </w:r>
                </w:p>
                <w:p>
                  <w:pPr>
                    <w:pStyle w:val="19"/>
                    <w:spacing w:line="360" w:lineRule="exact"/>
                    <w:jc w:val="center"/>
                    <w:rPr>
                      <w:rFonts w:hint="eastAsia" w:ascii="宋体" w:hAnsi="宋体" w:eastAsia="宋体" w:cs="宋体"/>
                      <w:szCs w:val="21"/>
                    </w:rPr>
                  </w:pPr>
                  <w:r>
                    <w:rPr>
                      <w:rFonts w:hint="eastAsia" w:ascii="宋体" w:hAnsi="宋体" w:eastAsia="宋体" w:cs="宋体"/>
                      <w:szCs w:val="21"/>
                    </w:rPr>
                    <w:t>《招投标文件》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t>副部长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t>物业管理业部</w:t>
                  </w:r>
                </w:p>
              </w:tc>
              <w:tc>
                <w:tcPr>
                  <w:tcW w:w="34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textAlignment w:val="bottom"/>
                    <w:rPr>
                      <w:rFonts w:hint="eastAsia" w:ascii="宋体" w:hAnsi="宋体" w:eastAsia="宋体" w:cs="宋体"/>
                      <w:sz w:val="21"/>
                      <w:szCs w:val="21"/>
                    </w:rPr>
                  </w:pPr>
                  <w:r>
                    <w:rPr>
                      <w:rFonts w:hint="eastAsia" w:ascii="宋体" w:hAnsi="宋体" w:eastAsia="宋体" w:cs="宋体"/>
                      <w:sz w:val="21"/>
                      <w:szCs w:val="21"/>
                    </w:rPr>
                    <w:t>根据供应商基本资料及双方合同要点，制定管理方案，并交综合部备案。</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t>巡查员</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t>物业管理部</w:t>
                  </w:r>
                </w:p>
              </w:tc>
              <w:tc>
                <w:tcPr>
                  <w:tcW w:w="3402" w:type="dxa"/>
                  <w:tcBorders>
                    <w:top w:val="single" w:color="auto" w:sz="4" w:space="0"/>
                    <w:left w:val="single" w:color="auto" w:sz="4" w:space="0"/>
                    <w:bottom w:val="single" w:color="auto" w:sz="4" w:space="0"/>
                    <w:right w:val="single" w:color="auto" w:sz="4" w:space="0"/>
                  </w:tcBorders>
                </w:tcPr>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对“灭四害”消杀单位的监督管理：</w:t>
                  </w:r>
                </w:p>
                <w:p>
                  <w:pPr>
                    <w:widowControl w:val="0"/>
                    <w:numPr>
                      <w:ilvl w:val="0"/>
                      <w:numId w:val="10"/>
                    </w:numPr>
                    <w:adjustRightInd/>
                    <w:snapToGrid/>
                    <w:spacing w:after="0" w:line="360" w:lineRule="exact"/>
                    <w:ind w:right="-84"/>
                    <w:jc w:val="both"/>
                    <w:rPr>
                      <w:rFonts w:hint="eastAsia" w:ascii="宋体" w:hAnsi="宋体" w:eastAsia="宋体" w:cs="宋体"/>
                      <w:sz w:val="21"/>
                      <w:szCs w:val="21"/>
                    </w:rPr>
                  </w:pPr>
                  <w:r>
                    <w:rPr>
                      <w:rFonts w:hint="eastAsia" w:ascii="宋体" w:hAnsi="宋体" w:eastAsia="宋体" w:cs="宋体"/>
                      <w:sz w:val="21"/>
                      <w:szCs w:val="21"/>
                    </w:rPr>
                    <w:t>日常消杀：</w:t>
                  </w: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1.每月初提交月工作计划，消杀工作前应向物业管理部发出灭害的警示。</w:t>
                  </w: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2.严格按照合同消杀次数进行灭杀。</w:t>
                  </w: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3.消杀工作人员统一着装，文明施工，进行外围消杀时放置相应的工作警示牌。</w:t>
                  </w: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4.接到物业管理部临时问题处理通知后，应于2小时内到达指定的现场。</w:t>
                  </w: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5.巡查员跟进每次消杀工作，并填写消杀工作记录检查表。</w:t>
                  </w:r>
                </w:p>
                <w:p>
                  <w:pPr>
                    <w:widowControl w:val="0"/>
                    <w:numPr>
                      <w:ilvl w:val="0"/>
                      <w:numId w:val="10"/>
                    </w:numPr>
                    <w:adjustRightInd/>
                    <w:snapToGrid/>
                    <w:spacing w:after="0" w:line="360" w:lineRule="exact"/>
                    <w:ind w:right="-84"/>
                    <w:jc w:val="both"/>
                    <w:rPr>
                      <w:rFonts w:hint="eastAsia" w:ascii="宋体" w:hAnsi="宋体" w:eastAsia="宋体" w:cs="宋体"/>
                      <w:sz w:val="21"/>
                      <w:szCs w:val="21"/>
                    </w:rPr>
                  </w:pPr>
                  <w:r>
                    <w:rPr>
                      <w:rFonts w:hint="eastAsia" w:ascii="宋体" w:hAnsi="宋体" w:eastAsia="宋体" w:cs="宋体"/>
                      <w:sz w:val="21"/>
                      <w:szCs w:val="21"/>
                    </w:rPr>
                    <w:t>中国—东盟博览会期间消杀：</w:t>
                  </w: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1.在中国—东盟博览会开幕式前消杀单位制定方案集中灭杀。</w:t>
                  </w: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2.在中国—东盟博览会期间安排消杀单位工作人员进行“四害”达标维护。</w:t>
                  </w:r>
                </w:p>
                <w:p>
                  <w:pPr>
                    <w:widowControl w:val="0"/>
                    <w:numPr>
                      <w:ilvl w:val="0"/>
                      <w:numId w:val="10"/>
                    </w:numPr>
                    <w:tabs>
                      <w:tab w:val="left" w:pos="0"/>
                      <w:tab w:val="clear" w:pos="360"/>
                    </w:tabs>
                    <w:adjustRightInd/>
                    <w:snapToGrid/>
                    <w:spacing w:after="0" w:line="360" w:lineRule="exact"/>
                    <w:ind w:left="0" w:right="-84" w:firstLine="0"/>
                    <w:jc w:val="both"/>
                    <w:rPr>
                      <w:rFonts w:hint="eastAsia" w:ascii="宋体" w:hAnsi="宋体" w:eastAsia="宋体" w:cs="宋体"/>
                      <w:sz w:val="21"/>
                      <w:szCs w:val="21"/>
                    </w:rPr>
                  </w:pPr>
                  <w:r>
                    <w:rPr>
                      <w:rFonts w:hint="eastAsia" w:ascii="宋体" w:hAnsi="宋体" w:eastAsia="宋体" w:cs="宋体"/>
                      <w:sz w:val="21"/>
                      <w:szCs w:val="21"/>
                    </w:rPr>
                    <w:t>每月底根据《消杀工作记录检查表》进行评分，填写《灭四害评分表》。月度评分低于80分的，按合同处罚标准进行处罚。</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《消杀工作记录检查表》</w:t>
                  </w:r>
                </w:p>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《灭四害评分表》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t>巡查员</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hint="eastAsia" w:ascii="宋体" w:hAnsi="宋体" w:eastAsia="宋体" w:cs="宋体"/>
                      <w:sz w:val="21"/>
                      <w:szCs w:val="21"/>
                    </w:rPr>
                  </w:pPr>
                  <w:r>
                    <w:rPr>
                      <w:rFonts w:hint="eastAsia" w:ascii="宋体" w:hAnsi="宋体" w:eastAsia="宋体" w:cs="宋体"/>
                      <w:sz w:val="21"/>
                      <w:szCs w:val="21"/>
                    </w:rPr>
                    <w:t>物业管理部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rPr>
                      <w:rFonts w:hint="eastAsia" w:ascii="宋体" w:hAnsi="宋体" w:eastAsia="宋体" w:cs="宋体"/>
                      <w:sz w:val="21"/>
                      <w:szCs w:val="21"/>
                    </w:rPr>
                  </w:pPr>
                  <w:r>
                    <w:rPr>
                      <w:rFonts w:hint="eastAsia" w:ascii="宋体" w:hAnsi="宋体" w:eastAsia="宋体" w:cs="宋体"/>
                      <w:sz w:val="21"/>
                      <w:szCs w:val="21"/>
                    </w:rPr>
                    <w:t>将供应商资料、评定记录、评估资料交综合部存档备案。</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rPr>
                      <w:rFonts w:hint="eastAsia" w:ascii="宋体" w:hAnsi="宋体" w:eastAsia="宋体" w:cs="宋体"/>
                      <w:sz w:val="21"/>
                      <w:szCs w:val="21"/>
                    </w:rPr>
                  </w:pPr>
                </w:p>
              </w:tc>
            </w:tr>
          </w:tbl>
          <w:p>
            <w:pPr>
              <w:spacing w:line="360" w:lineRule="exact"/>
              <w:rPr>
                <w:rFonts w:hint="eastAsia" w:ascii="宋体" w:hAnsi="宋体" w:eastAsia="宋体" w:cs="宋体"/>
                <w:sz w:val="21"/>
                <w:szCs w:val="21"/>
              </w:rPr>
            </w:pPr>
          </w:p>
          <w:p>
            <w:pPr>
              <w:spacing w:line="360" w:lineRule="exact"/>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消杀工作记录检查表</w:t>
            </w:r>
          </w:p>
          <w:p>
            <w:pPr>
              <w:spacing w:line="360" w:lineRule="exact"/>
              <w:jc w:val="center"/>
              <w:rPr>
                <w:rFonts w:hint="eastAsia" w:ascii="宋体" w:hAnsi="宋体" w:eastAsia="宋体" w:cs="宋体"/>
                <w:b/>
                <w:sz w:val="21"/>
                <w:szCs w:val="21"/>
              </w:rPr>
            </w:pPr>
          </w:p>
          <w:tbl>
            <w:tblPr>
              <w:tblStyle w:val="49"/>
              <w:tblW w:w="8335" w:type="dxa"/>
              <w:jc w:val="center"/>
              <w:tblCellSpacing w:w="7" w:type="dxa"/>
              <w:tblInd w:w="-102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64"/>
              <w:gridCol w:w="1289"/>
              <w:gridCol w:w="1118"/>
              <w:gridCol w:w="1064"/>
              <w:gridCol w:w="1022"/>
              <w:gridCol w:w="1050"/>
              <w:gridCol w:w="1037"/>
              <w:gridCol w:w="8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91" w:hRule="atLeast"/>
                <w:tblCellSpacing w:w="7" w:type="dxa"/>
                <w:jc w:val="center"/>
              </w:trPr>
              <w:tc>
                <w:tcPr>
                  <w:tcW w:w="84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日期</w:t>
                  </w:r>
                </w:p>
              </w:tc>
              <w:tc>
                <w:tcPr>
                  <w:tcW w:w="1275"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消杀药品名称</w:t>
                  </w:r>
                </w:p>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浓度配比</w:t>
                  </w:r>
                </w:p>
              </w:tc>
              <w:tc>
                <w:tcPr>
                  <w:tcW w:w="110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作用</w:t>
                  </w:r>
                </w:p>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使用范围</w:t>
                  </w:r>
                </w:p>
              </w:tc>
              <w:tc>
                <w:tcPr>
                  <w:tcW w:w="105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作业防护</w:t>
                  </w:r>
                </w:p>
              </w:tc>
              <w:tc>
                <w:tcPr>
                  <w:tcW w:w="1008"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消杀作业</w:t>
                  </w:r>
                </w:p>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人员签名</w:t>
                  </w:r>
                </w:p>
              </w:tc>
              <w:tc>
                <w:tcPr>
                  <w:tcW w:w="1036"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消杀情况</w:t>
                  </w:r>
                </w:p>
              </w:tc>
              <w:tc>
                <w:tcPr>
                  <w:tcW w:w="102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施工单位</w:t>
                  </w:r>
                </w:p>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检查人</w:t>
                  </w:r>
                </w:p>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签名</w:t>
                  </w:r>
                </w:p>
              </w:tc>
              <w:tc>
                <w:tcPr>
                  <w:tcW w:w="87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物业管理部检查人</w:t>
                  </w:r>
                </w:p>
                <w:p>
                  <w:pPr>
                    <w:spacing w:before="100" w:beforeAutospacing="1" w:after="100" w:afterAutospacing="1" w:line="360" w:lineRule="exact"/>
                    <w:jc w:val="center"/>
                    <w:rPr>
                      <w:rFonts w:hint="eastAsia" w:ascii="宋体" w:hAnsi="宋体" w:eastAsia="宋体" w:cs="宋体"/>
                      <w:sz w:val="21"/>
                      <w:szCs w:val="21"/>
                    </w:rPr>
                  </w:pPr>
                  <w:r>
                    <w:rPr>
                      <w:rFonts w:hint="eastAsia" w:ascii="宋体" w:hAnsi="宋体" w:eastAsia="宋体" w:cs="宋体"/>
                      <w:sz w:val="21"/>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3" w:hRule="atLeast"/>
                <w:tblCellSpacing w:w="7" w:type="dxa"/>
                <w:jc w:val="center"/>
              </w:trPr>
              <w:tc>
                <w:tcPr>
                  <w:tcW w:w="84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275"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10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05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008"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036"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02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87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3" w:hRule="atLeast"/>
                <w:tblCellSpacing w:w="7" w:type="dxa"/>
                <w:jc w:val="center"/>
              </w:trPr>
              <w:tc>
                <w:tcPr>
                  <w:tcW w:w="84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275"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10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05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008"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036"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102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c>
                <w:tcPr>
                  <w:tcW w:w="87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hint="eastAsia" w:ascii="宋体" w:hAnsi="宋体" w:eastAsia="宋体" w:cs="宋体"/>
                      <w:b/>
                      <w:sz w:val="21"/>
                      <w:szCs w:val="21"/>
                    </w:rPr>
                  </w:pPr>
                </w:p>
              </w:tc>
            </w:tr>
          </w:tbl>
          <w:p>
            <w:pPr>
              <w:spacing w:line="360" w:lineRule="exact"/>
              <w:rPr>
                <w:rFonts w:hint="eastAsia" w:ascii="宋体" w:hAnsi="宋体" w:eastAsia="宋体" w:cs="宋体"/>
                <w:sz w:val="21"/>
                <w:szCs w:val="21"/>
              </w:rPr>
            </w:pPr>
            <w:r>
              <w:rPr>
                <w:rFonts w:hint="eastAsia" w:ascii="宋体" w:hAnsi="宋体" w:eastAsia="宋体" w:cs="宋体"/>
                <w:b/>
                <w:sz w:val="21"/>
                <w:szCs w:val="21"/>
              </w:rPr>
              <w:t>注：此表填写时必须对消杀时所使用的药品、消杀范围、消杀人员及对消杀范围是否有防护等进行检查。</w:t>
            </w: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both"/>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灭四害评分表</w:t>
            </w:r>
          </w:p>
          <w:p>
            <w:pPr>
              <w:spacing w:line="360" w:lineRule="exact"/>
              <w:rPr>
                <w:rFonts w:hint="eastAsia" w:ascii="宋体" w:hAnsi="宋体" w:eastAsia="宋体" w:cs="宋体"/>
                <w:sz w:val="21"/>
                <w:szCs w:val="21"/>
              </w:rPr>
            </w:pPr>
            <w:r>
              <w:rPr>
                <w:rFonts w:hint="eastAsia" w:ascii="宋体" w:hAnsi="宋体" w:eastAsia="宋体" w:cs="宋体"/>
                <w:sz w:val="21"/>
                <w:szCs w:val="21"/>
              </w:rPr>
              <w:t>检查部门：检查月份：总评分：</w:t>
            </w:r>
          </w:p>
          <w:tbl>
            <w:tblPr>
              <w:tblStyle w:val="49"/>
              <w:tblW w:w="7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88"/>
              <w:gridCol w:w="3260"/>
              <w:gridCol w:w="709"/>
              <w:gridCol w:w="709"/>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检查项目</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检查时间</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不符项目区域</w:t>
                  </w:r>
                </w:p>
              </w:tc>
              <w:tc>
                <w:tcPr>
                  <w:tcW w:w="535"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灭四害人员统一着装情况</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全部统一得10分，有1人未统一得7分，有2人未统一得5分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服务响应时间</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2小时内响应得10分，2—2.5小时得7分，2.5—3小时得5分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布置工作完成情况</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全部完成得10分，有1项未完成得7分，有2项未完成得5分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是否提交工作计划、及工作总结和灭前灭后检查表</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按要求提交得10分，有1项未提交得7分，有两项未提交得5分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灭前是否提前发出灭害的警示</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灭前发出警示公告得10分，未发出得5分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提供使用药物名单</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提供药物名单得10分，未提供得5分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是否及时清理消杀垃圾</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及时清理得0分，有1处未清理得7分，有2处未清理得5分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是否按合同次数做好各项消杀</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按合同次数消杀得10分，缺失1次得7分，缺少2次得5分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文明施工，是否有损坏物品</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r>
                    <w:rPr>
                      <w:rFonts w:hint="eastAsia" w:ascii="宋体" w:hAnsi="宋体" w:eastAsia="宋体" w:cs="宋体"/>
                      <w:sz w:val="21"/>
                      <w:szCs w:val="21"/>
                    </w:rPr>
                    <w:t>未损坏物品得10分，有损坏1处得7分，有2处损坏得5分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highlight w:val="yellow"/>
                    </w:rPr>
                  </w:pPr>
                  <w:r>
                    <w:rPr>
                      <w:rFonts w:hint="eastAsia" w:ascii="宋体" w:hAnsi="宋体" w:eastAsia="宋体" w:cs="宋体"/>
                      <w:sz w:val="21"/>
                      <w:szCs w:val="21"/>
                    </w:rPr>
                    <w:t>是否有投诉反映消杀效果不佳（按合同标准）</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highlight w:val="yellow"/>
                    </w:rPr>
                  </w:pPr>
                  <w:r>
                    <w:rPr>
                      <w:rFonts w:hint="eastAsia" w:ascii="宋体" w:hAnsi="宋体" w:eastAsia="宋体" w:cs="宋体"/>
                      <w:sz w:val="21"/>
                      <w:szCs w:val="21"/>
                    </w:rPr>
                    <w:t>无投诉得10分，有1次投诉得7分，有2次投诉得5分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 w:val="21"/>
                      <w:szCs w:val="21"/>
                    </w:rPr>
                  </w:pPr>
                </w:p>
              </w:tc>
            </w:tr>
          </w:tbl>
          <w:p>
            <w:pPr>
              <w:spacing w:line="360" w:lineRule="exact"/>
              <w:rPr>
                <w:rFonts w:hint="eastAsia" w:ascii="宋体" w:hAnsi="宋体" w:eastAsia="宋体" w:cs="宋体"/>
                <w:sz w:val="21"/>
                <w:szCs w:val="21"/>
              </w:rPr>
            </w:pPr>
          </w:p>
          <w:p>
            <w:pPr>
              <w:spacing w:line="360" w:lineRule="exact"/>
              <w:rPr>
                <w:rFonts w:hint="eastAsia" w:ascii="宋体" w:hAnsi="宋体" w:eastAsia="宋体" w:cs="宋体"/>
                <w:sz w:val="21"/>
                <w:szCs w:val="21"/>
              </w:rPr>
            </w:pPr>
            <w:r>
              <w:rPr>
                <w:rFonts w:hint="eastAsia" w:ascii="宋体" w:hAnsi="宋体" w:eastAsia="宋体" w:cs="宋体"/>
                <w:sz w:val="21"/>
                <w:szCs w:val="21"/>
              </w:rPr>
              <w:t>检查人：</w:t>
            </w:r>
            <w:r>
              <w:rPr>
                <w:rFonts w:hint="eastAsia" w:ascii="宋体" w:hAnsi="宋体" w:cs="宋体"/>
                <w:sz w:val="21"/>
                <w:szCs w:val="21"/>
                <w:lang w:val="en-US" w:eastAsia="zh-CN"/>
              </w:rPr>
              <w:t xml:space="preserve">                                   </w:t>
            </w:r>
            <w:r>
              <w:rPr>
                <w:rFonts w:hint="eastAsia" w:ascii="宋体" w:hAnsi="宋体" w:eastAsia="宋体" w:cs="宋体"/>
                <w:sz w:val="21"/>
                <w:szCs w:val="21"/>
              </w:rPr>
              <w:t>外包单位确认：</w:t>
            </w:r>
          </w:p>
        </w:tc>
      </w:tr>
    </w:tbl>
    <w:p>
      <w:pPr>
        <w:spacing w:line="440" w:lineRule="exact"/>
        <w:jc w:val="center"/>
        <w:rPr>
          <w:rFonts w:ascii="宋体" w:hAnsi="宋体"/>
          <w:szCs w:val="21"/>
        </w:rPr>
      </w:pPr>
    </w:p>
    <w:p>
      <w:pPr>
        <w:spacing w:line="440" w:lineRule="exact"/>
        <w:jc w:val="center"/>
        <w:rPr>
          <w:rFonts w:ascii="宋体" w:hAnsi="宋体"/>
          <w:szCs w:val="21"/>
        </w:rPr>
      </w:pPr>
    </w:p>
    <w:p>
      <w:pPr>
        <w:widowControl/>
        <w:jc w:val="left"/>
      </w:pPr>
    </w:p>
    <w:p>
      <w:pPr>
        <w:pStyle w:val="3"/>
        <w:jc w:val="center"/>
        <w:rPr>
          <w:rFonts w:hint="eastAsia"/>
        </w:rPr>
      </w:pPr>
      <w:bookmarkStart w:id="35" w:name="_Toc393040187"/>
      <w:bookmarkStart w:id="36" w:name="_Toc21372"/>
      <w:bookmarkStart w:id="37" w:name="_Toc21831_WPSOffice_Level1"/>
      <w:r>
        <w:rPr>
          <w:rFonts w:hint="eastAsia"/>
        </w:rPr>
        <w:t>第四章评</w:t>
      </w:r>
      <w:bookmarkEnd w:id="35"/>
      <w:r>
        <w:rPr>
          <w:rFonts w:hint="eastAsia"/>
        </w:rPr>
        <w:t>审方法</w:t>
      </w:r>
      <w:bookmarkEnd w:id="36"/>
      <w:bookmarkEnd w:id="37"/>
    </w:p>
    <w:p>
      <w:pPr>
        <w:pStyle w:val="3"/>
        <w:jc w:val="center"/>
        <w:rPr>
          <w:rFonts w:hint="eastAsia" w:ascii="Times New Roman" w:hAnsi="Times New Roman" w:eastAsia="宋体" w:cs="Times New Roman"/>
          <w:b/>
          <w:kern w:val="2"/>
          <w:sz w:val="30"/>
          <w:szCs w:val="30"/>
          <w:lang w:val="en-US" w:eastAsia="zh-CN" w:bidi="ar-SA"/>
        </w:rPr>
      </w:pPr>
      <w:bookmarkStart w:id="38" w:name="_Toc6887"/>
      <w:bookmarkStart w:id="39" w:name="_Toc21234_WPSOffice_Level2"/>
      <w:r>
        <w:rPr>
          <w:rFonts w:hint="eastAsia" w:ascii="Times New Roman" w:hAnsi="Times New Roman" w:eastAsia="宋体" w:cs="Times New Roman"/>
          <w:b/>
          <w:kern w:val="2"/>
          <w:sz w:val="30"/>
          <w:szCs w:val="30"/>
          <w:lang w:val="en-US" w:eastAsia="zh-CN" w:bidi="ar-SA"/>
        </w:rPr>
        <w:t>最低评标价法</w:t>
      </w:r>
      <w:bookmarkEnd w:id="38"/>
      <w:bookmarkEnd w:id="39"/>
    </w:p>
    <w:p>
      <w:pPr>
        <w:pStyle w:val="3"/>
        <w:jc w:val="center"/>
        <w:rPr>
          <w:rFonts w:hAnsi="宋体"/>
          <w:b w:val="0"/>
          <w:bCs w:val="0"/>
          <w:sz w:val="32"/>
          <w:szCs w:val="32"/>
        </w:rPr>
      </w:pPr>
      <w:r>
        <w:rPr>
          <w:rFonts w:hint="eastAsia" w:ascii="Times New Roman" w:hAnsi="Times New Roman" w:cs="Times New Roman"/>
          <w:b/>
          <w:kern w:val="2"/>
          <w:sz w:val="30"/>
          <w:szCs w:val="30"/>
          <w:lang w:val="en-US" w:eastAsia="zh-CN" w:bidi="ar-SA"/>
        </w:rPr>
        <w:t xml:space="preserve">   </w:t>
      </w:r>
      <w:bookmarkStart w:id="40" w:name="_Toc32182"/>
      <w:r>
        <w:rPr>
          <w:rFonts w:ascii="宋体" w:hAnsi="Courier New" w:eastAsia="宋体" w:cs="Times New Roman"/>
          <w:b w:val="0"/>
          <w:bCs w:val="0"/>
          <w:kern w:val="2"/>
          <w:sz w:val="21"/>
          <w:szCs w:val="20"/>
          <w:lang w:val="en-US" w:eastAsia="zh-CN" w:bidi="ar-SA"/>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hint="eastAsia" w:ascii="宋体" w:hAnsi="Courier New" w:cs="Times New Roman"/>
          <w:b w:val="0"/>
          <w:bCs w:val="0"/>
          <w:kern w:val="2"/>
          <w:sz w:val="21"/>
          <w:szCs w:val="20"/>
          <w:lang w:val="en-US" w:eastAsia="zh-CN" w:bidi="ar-SA"/>
        </w:rPr>
        <w:t>处理问题响应</w:t>
      </w:r>
      <w:r>
        <w:rPr>
          <w:rFonts w:ascii="宋体" w:hAnsi="Courier New" w:eastAsia="宋体" w:cs="Times New Roman"/>
          <w:b w:val="0"/>
          <w:bCs w:val="0"/>
          <w:kern w:val="2"/>
          <w:sz w:val="21"/>
          <w:szCs w:val="20"/>
          <w:lang w:val="en-US" w:eastAsia="zh-CN" w:bidi="ar-SA"/>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eastAsia="宋体" w:cs="Times New Roman"/>
          <w:b w:val="0"/>
          <w:bCs w:val="0"/>
          <w:kern w:val="2"/>
          <w:sz w:val="21"/>
          <w:szCs w:val="20"/>
          <w:lang w:val="en-US" w:eastAsia="zh-CN" w:bidi="ar-SA"/>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0"/>
    </w:p>
    <w:p>
      <w:pPr>
        <w:spacing w:beforeLines="50" w:afterLines="50" w:line="360" w:lineRule="exact"/>
        <w:ind w:firstLine="420" w:firstLineChars="200"/>
        <w:rPr>
          <w:rFonts w:ascii="宋体" w:hAnsi="宋体" w:cs="Courier New"/>
          <w:b w:val="0"/>
          <w:bCs w:val="0"/>
          <w:szCs w:val="21"/>
        </w:rPr>
      </w:pPr>
      <w:r>
        <w:rPr>
          <w:rFonts w:ascii="宋体" w:hAnsi="宋体"/>
          <w:b w:val="0"/>
          <w:bCs w:val="0"/>
          <w:szCs w:val="21"/>
        </w:rPr>
        <w:br w:type="page"/>
      </w:r>
    </w:p>
    <w:p>
      <w:pPr>
        <w:pStyle w:val="3"/>
        <w:jc w:val="center"/>
      </w:pPr>
      <w:bookmarkStart w:id="41" w:name="_Toc393040191"/>
      <w:bookmarkStart w:id="42" w:name="_Toc5766"/>
      <w:bookmarkStart w:id="43" w:name="_Toc32649_WPSOffice_Level1"/>
      <w:r>
        <w:rPr>
          <w:rFonts w:hint="eastAsia"/>
        </w:rPr>
        <w:t>第五章响应文件格式</w:t>
      </w:r>
      <w:bookmarkEnd w:id="41"/>
      <w:bookmarkEnd w:id="42"/>
      <w:bookmarkEnd w:id="43"/>
    </w:p>
    <w:p>
      <w:pPr>
        <w:spacing w:line="240" w:lineRule="atLeast"/>
        <w:jc w:val="center"/>
        <w:rPr>
          <w:rFonts w:ascii="宋体" w:hAnsi="宋体"/>
          <w:b/>
          <w:sz w:val="32"/>
          <w:szCs w:val="32"/>
        </w:rPr>
      </w:pPr>
    </w:p>
    <w:p>
      <w:pPr>
        <w:spacing w:line="240" w:lineRule="atLeast"/>
        <w:jc w:val="center"/>
        <w:rPr>
          <w:rFonts w:ascii="宋体" w:hAnsi="宋体"/>
          <w:b/>
          <w:sz w:val="32"/>
          <w:szCs w:val="32"/>
        </w:rPr>
      </w:pPr>
      <w:bookmarkStart w:id="44" w:name="_Toc16788_WPSOffice_Level2"/>
      <w:r>
        <w:rPr>
          <w:rFonts w:hint="eastAsia" w:ascii="宋体" w:hAnsi="宋体"/>
          <w:b/>
          <w:sz w:val="44"/>
          <w:szCs w:val="44"/>
        </w:rPr>
        <w:t>响应文件</w:t>
      </w:r>
      <w:r>
        <w:rPr>
          <w:rFonts w:hint="eastAsia" w:ascii="宋体" w:hAnsi="宋体"/>
          <w:szCs w:val="21"/>
        </w:rPr>
        <w:t>(封面）</w:t>
      </w:r>
      <w:bookmarkEnd w:id="44"/>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left"/>
        <w:rPr>
          <w:rFonts w:ascii="宋体" w:hAnsi="宋体"/>
          <w:szCs w:val="21"/>
          <w:u w:val="single"/>
        </w:rPr>
      </w:pPr>
      <w:r>
        <w:rPr>
          <w:rFonts w:hint="eastAsia" w:ascii="宋体" w:hAnsi="宋体"/>
          <w:szCs w:val="21"/>
        </w:rPr>
        <w:t>采购项目编号：</w:t>
      </w:r>
    </w:p>
    <w:p>
      <w:pPr>
        <w:tabs>
          <w:tab w:val="left" w:pos="3240"/>
        </w:tabs>
        <w:spacing w:line="360" w:lineRule="auto"/>
        <w:jc w:val="left"/>
        <w:rPr>
          <w:rFonts w:ascii="宋体" w:hAnsi="宋体"/>
          <w:szCs w:val="21"/>
          <w:u w:val="single"/>
        </w:rPr>
      </w:pPr>
      <w:r>
        <w:rPr>
          <w:rFonts w:hint="eastAsia" w:ascii="宋体" w:hAnsi="宋体"/>
          <w:szCs w:val="21"/>
        </w:rPr>
        <w:t>采购项目名称：</w:t>
      </w:r>
    </w:p>
    <w:p>
      <w:pPr>
        <w:tabs>
          <w:tab w:val="left" w:pos="2625"/>
        </w:tabs>
        <w:spacing w:line="360" w:lineRule="auto"/>
        <w:jc w:val="center"/>
        <w:rPr>
          <w:rFonts w:ascii="宋体" w:hAnsi="宋体"/>
          <w:szCs w:val="21"/>
        </w:rPr>
      </w:pPr>
    </w:p>
    <w:p>
      <w:pPr>
        <w:tabs>
          <w:tab w:val="left" w:pos="2625"/>
        </w:tabs>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 xml:space="preserve">                                        （供应商名称）</w:t>
      </w:r>
    </w:p>
    <w:p>
      <w:pPr>
        <w:spacing w:line="360" w:lineRule="auto"/>
        <w:ind w:firstLine="6111" w:firstLineChars="2910"/>
        <w:rPr>
          <w:rFonts w:ascii="宋体" w:hAns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    日</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b/>
          <w:szCs w:val="21"/>
        </w:rPr>
      </w:pPr>
      <w:r>
        <w:rPr>
          <w:rFonts w:ascii="宋体" w:hAnsi="宋体"/>
          <w:szCs w:val="21"/>
        </w:rPr>
        <w:br w:type="page"/>
      </w:r>
      <w:r>
        <w:rPr>
          <w:rFonts w:hint="eastAsia" w:ascii="宋体" w:hAnsi="宋体"/>
          <w:b/>
          <w:szCs w:val="21"/>
        </w:rPr>
        <w:t xml:space="preserve">附件一 </w:t>
      </w:r>
    </w:p>
    <w:p>
      <w:pPr>
        <w:spacing w:line="320" w:lineRule="exact"/>
        <w:rPr>
          <w:rFonts w:ascii="宋体" w:hAnsi="宋体"/>
          <w:szCs w:val="21"/>
        </w:rPr>
      </w:pPr>
    </w:p>
    <w:p>
      <w:pPr>
        <w:spacing w:line="320" w:lineRule="exact"/>
        <w:jc w:val="center"/>
        <w:rPr>
          <w:rFonts w:ascii="宋体" w:hAnsi="宋体"/>
          <w:b/>
          <w:sz w:val="32"/>
          <w:szCs w:val="32"/>
        </w:rPr>
      </w:pPr>
      <w:bookmarkStart w:id="45" w:name="_Toc11791_WPSOffice_Level2"/>
      <w:r>
        <w:rPr>
          <w:rFonts w:hint="eastAsia" w:ascii="宋体" w:hAnsi="宋体"/>
          <w:b/>
          <w:sz w:val="32"/>
          <w:szCs w:val="32"/>
        </w:rPr>
        <w:t>谈  判  书</w:t>
      </w:r>
      <w:bookmarkEnd w:id="45"/>
    </w:p>
    <w:p>
      <w:pPr>
        <w:spacing w:line="320" w:lineRule="exact"/>
        <w:jc w:val="center"/>
        <w:rPr>
          <w:rFonts w:ascii="宋体" w:hAnsi="宋体"/>
          <w:b/>
          <w:sz w:val="32"/>
          <w:szCs w:val="32"/>
        </w:rPr>
      </w:pPr>
    </w:p>
    <w:p>
      <w:pPr>
        <w:pStyle w:val="25"/>
        <w:spacing w:line="400" w:lineRule="exact"/>
        <w:rPr>
          <w:rFonts w:hAnsi="宋体"/>
        </w:rPr>
      </w:pPr>
      <w:r>
        <w:rPr>
          <w:rFonts w:hint="eastAsia" w:hAnsi="宋体" w:cs="Times New Roman"/>
        </w:rPr>
        <w:t>致____________(采购人)</w:t>
      </w:r>
      <w:r>
        <w:rPr>
          <w:rFonts w:hint="eastAsia" w:hAnsi="宋体"/>
        </w:rPr>
        <w:t>：</w:t>
      </w:r>
    </w:p>
    <w:p>
      <w:pPr>
        <w:pStyle w:val="25"/>
        <w:spacing w:line="400" w:lineRule="exact"/>
        <w:ind w:firstLine="420" w:firstLineChars="200"/>
        <w:rPr>
          <w:rFonts w:hAnsi="宋体"/>
        </w:rPr>
      </w:pPr>
      <w:r>
        <w:rPr>
          <w:rFonts w:hint="eastAsia" w:hAnsi="宋体"/>
        </w:rPr>
        <w:t>依据贵方</w:t>
      </w:r>
      <w:r>
        <w:rPr>
          <w:rFonts w:hint="eastAsia" w:hAnsi="宋体"/>
          <w:u w:val="single"/>
        </w:rPr>
        <w:t>（项目名称/文件编号）</w:t>
      </w:r>
      <w:r>
        <w:rPr>
          <w:rFonts w:hint="eastAsia" w:hAnsi="宋体"/>
        </w:rPr>
        <w:t>项目采购的谈判邀请，我方</w:t>
      </w:r>
      <w:r>
        <w:rPr>
          <w:rFonts w:hint="eastAsia" w:hAnsi="宋体"/>
          <w:u w:val="single"/>
        </w:rPr>
        <w:t>（姓名和职务）</w:t>
      </w:r>
      <w:r>
        <w:rPr>
          <w:rFonts w:hint="eastAsia" w:hAnsi="宋体"/>
        </w:rPr>
        <w:t>经正式授权并代表供应商</w:t>
      </w:r>
      <w:r>
        <w:rPr>
          <w:rFonts w:hint="eastAsia" w:hAnsi="宋体"/>
          <w:u w:val="single"/>
        </w:rPr>
        <w:t>（供应商名称、地址）</w:t>
      </w:r>
      <w:r>
        <w:rPr>
          <w:rFonts w:hint="eastAsia" w:hAnsi="宋体"/>
        </w:rPr>
        <w:t>提交下述响应文件正本一份，副本份，包含下列内容：</w:t>
      </w:r>
    </w:p>
    <w:p>
      <w:pPr>
        <w:pStyle w:val="25"/>
        <w:spacing w:line="400" w:lineRule="exact"/>
        <w:ind w:firstLine="480"/>
        <w:rPr>
          <w:rFonts w:hAnsi="宋体"/>
        </w:rPr>
      </w:pPr>
      <w:bookmarkStart w:id="46" w:name="_Toc16788_WPSOffice_Level3"/>
      <w:r>
        <w:rPr>
          <w:rFonts w:hint="eastAsia" w:hAnsi="宋体"/>
        </w:rPr>
        <w:t>1. 报价表；</w:t>
      </w:r>
      <w:bookmarkEnd w:id="46"/>
    </w:p>
    <w:p>
      <w:pPr>
        <w:pStyle w:val="25"/>
        <w:spacing w:line="400" w:lineRule="exact"/>
        <w:ind w:firstLine="480"/>
        <w:rPr>
          <w:rFonts w:hAnsi="宋体"/>
        </w:rPr>
      </w:pPr>
      <w:bookmarkStart w:id="47" w:name="_Toc11791_WPSOffice_Level3"/>
      <w:r>
        <w:rPr>
          <w:rFonts w:hint="eastAsia" w:hAnsi="宋体"/>
        </w:rPr>
        <w:t>2. 服务响应偏离情况说明表；</w:t>
      </w:r>
      <w:bookmarkEnd w:id="47"/>
    </w:p>
    <w:p>
      <w:pPr>
        <w:pStyle w:val="25"/>
        <w:spacing w:line="400" w:lineRule="exact"/>
        <w:ind w:firstLine="480"/>
        <w:rPr>
          <w:rFonts w:hAnsi="宋体"/>
        </w:rPr>
      </w:pPr>
      <w:bookmarkStart w:id="48" w:name="_Toc7592_WPSOffice_Level3"/>
      <w:r>
        <w:rPr>
          <w:rFonts w:hint="eastAsia" w:hAnsi="宋体"/>
        </w:rPr>
        <w:t>3. 投入设备响应表；</w:t>
      </w:r>
      <w:bookmarkEnd w:id="48"/>
    </w:p>
    <w:p>
      <w:pPr>
        <w:pStyle w:val="25"/>
        <w:spacing w:line="400" w:lineRule="exact"/>
        <w:ind w:firstLine="480"/>
        <w:rPr>
          <w:rFonts w:hAnsi="宋体"/>
        </w:rPr>
      </w:pPr>
      <w:bookmarkStart w:id="49" w:name="_Toc21805_WPSOffice_Level3"/>
      <w:r>
        <w:rPr>
          <w:rFonts w:hint="eastAsia" w:hAnsi="宋体"/>
        </w:rPr>
        <w:t>4. 技术支持和服务方案；</w:t>
      </w:r>
      <w:bookmarkEnd w:id="49"/>
    </w:p>
    <w:p>
      <w:pPr>
        <w:pStyle w:val="25"/>
        <w:spacing w:line="400" w:lineRule="exact"/>
        <w:ind w:firstLine="480"/>
        <w:rPr>
          <w:rFonts w:hAnsi="宋体"/>
        </w:rPr>
      </w:pPr>
      <w:bookmarkStart w:id="50" w:name="_Toc27486_WPSOffice_Level3"/>
      <w:r>
        <w:rPr>
          <w:rFonts w:hint="eastAsia" w:hAnsi="宋体"/>
        </w:rPr>
        <w:t>5. 按谈判采购文件供应商须知和服务需求及要求提供的有关文件；</w:t>
      </w:r>
      <w:bookmarkEnd w:id="50"/>
    </w:p>
    <w:p>
      <w:pPr>
        <w:pStyle w:val="25"/>
        <w:spacing w:line="400" w:lineRule="exact"/>
        <w:ind w:firstLine="480"/>
        <w:rPr>
          <w:rFonts w:hAnsi="宋体"/>
        </w:rPr>
      </w:pPr>
      <w:bookmarkStart w:id="51" w:name="_Toc17277_WPSOffice_Level3"/>
      <w:r>
        <w:rPr>
          <w:rFonts w:hint="eastAsia" w:hAnsi="宋体"/>
        </w:rPr>
        <w:t>6. 资格证明文件；</w:t>
      </w:r>
      <w:bookmarkEnd w:id="51"/>
    </w:p>
    <w:p>
      <w:pPr>
        <w:pStyle w:val="25"/>
        <w:spacing w:line="400" w:lineRule="exact"/>
        <w:ind w:firstLine="420" w:firstLineChars="200"/>
        <w:rPr>
          <w:rFonts w:hAnsi="宋体"/>
        </w:rPr>
      </w:pPr>
      <w:r>
        <w:rPr>
          <w:rFonts w:hint="eastAsia" w:hAnsi="宋体"/>
        </w:rPr>
        <w:t>在此，授权代表宣布同意如下：</w:t>
      </w:r>
    </w:p>
    <w:p>
      <w:pPr>
        <w:pStyle w:val="25"/>
        <w:spacing w:line="400" w:lineRule="exact"/>
        <w:ind w:firstLine="420" w:firstLineChars="200"/>
        <w:rPr>
          <w:rFonts w:hAnsi="宋体"/>
        </w:rPr>
      </w:pPr>
      <w:r>
        <w:rPr>
          <w:rFonts w:hint="eastAsia" w:hAnsi="宋体"/>
        </w:rPr>
        <w:t>1.响应文件有效期：；</w:t>
      </w:r>
    </w:p>
    <w:p>
      <w:pPr>
        <w:pStyle w:val="25"/>
        <w:spacing w:line="400" w:lineRule="exact"/>
        <w:ind w:firstLine="420" w:firstLineChars="200"/>
        <w:rPr>
          <w:rFonts w:hAnsi="宋体"/>
        </w:rPr>
      </w:pPr>
      <w:r>
        <w:rPr>
          <w:rFonts w:hint="eastAsia" w:hAnsi="宋体"/>
        </w:rPr>
        <w:t>2. 将按谈判采购文件的约定履行合同责任和义务；</w:t>
      </w:r>
    </w:p>
    <w:p>
      <w:pPr>
        <w:pStyle w:val="25"/>
        <w:spacing w:line="400" w:lineRule="exact"/>
        <w:ind w:firstLine="420" w:firstLineChars="200"/>
        <w:rPr>
          <w:rFonts w:hAnsi="宋体"/>
        </w:rPr>
      </w:pPr>
      <w:r>
        <w:rPr>
          <w:rFonts w:hint="eastAsia" w:hAnsi="宋体"/>
        </w:rPr>
        <w:t>3. 已详细审查全部谈判采购文件，包括</w:t>
      </w:r>
      <w:r>
        <w:rPr>
          <w:rFonts w:hint="eastAsia" w:hAnsi="宋体"/>
          <w:u w:val="single"/>
        </w:rPr>
        <w:t>（补遗文件）（如果有的话）</w:t>
      </w:r>
      <w:r>
        <w:rPr>
          <w:rFonts w:hint="eastAsia" w:hAnsi="宋体"/>
        </w:rPr>
        <w:t>；我们完全理解并同意放弃对这方面有不明及误解的权力；</w:t>
      </w:r>
    </w:p>
    <w:p>
      <w:pPr>
        <w:pStyle w:val="25"/>
        <w:spacing w:line="400" w:lineRule="exact"/>
        <w:ind w:firstLine="420" w:firstLineChars="200"/>
        <w:rPr>
          <w:rFonts w:hAnsi="宋体"/>
        </w:rPr>
      </w:pPr>
      <w:r>
        <w:rPr>
          <w:rFonts w:hint="eastAsia" w:hAnsi="宋体"/>
        </w:rPr>
        <w:t>4. 同意提供按照贵方可能要求的与其谈判有关的一切数据或资料；</w:t>
      </w:r>
    </w:p>
    <w:p>
      <w:pPr>
        <w:pStyle w:val="25"/>
        <w:spacing w:line="400" w:lineRule="exact"/>
        <w:ind w:firstLine="420" w:firstLineChars="200"/>
        <w:rPr>
          <w:rFonts w:hAnsi="宋体"/>
        </w:rPr>
      </w:pPr>
      <w:r>
        <w:rPr>
          <w:rFonts w:hint="eastAsia" w:hAnsi="宋体"/>
        </w:rPr>
        <w:t>5. 与本谈判有关的一切正式往来信函请寄：邮政编号：</w:t>
      </w:r>
    </w:p>
    <w:p>
      <w:pPr>
        <w:pStyle w:val="25"/>
        <w:spacing w:line="400" w:lineRule="exact"/>
        <w:ind w:firstLine="840"/>
        <w:rPr>
          <w:rFonts w:hAnsi="宋体"/>
        </w:rPr>
      </w:pPr>
      <w:r>
        <w:rPr>
          <w:rFonts w:hint="eastAsia" w:hAnsi="宋体"/>
        </w:rPr>
        <w:t>电话/传真： 电子函件：</w:t>
      </w:r>
    </w:p>
    <w:p>
      <w:pPr>
        <w:pStyle w:val="25"/>
        <w:spacing w:line="400" w:lineRule="exact"/>
        <w:ind w:firstLine="840"/>
        <w:rPr>
          <w:rFonts w:hAnsi="宋体"/>
        </w:rPr>
      </w:pPr>
    </w:p>
    <w:p>
      <w:pPr>
        <w:pStyle w:val="25"/>
        <w:spacing w:line="400" w:lineRule="exact"/>
        <w:ind w:firstLine="840"/>
        <w:rPr>
          <w:rFonts w:hAnsi="宋体"/>
          <w:u w:val="single"/>
        </w:rPr>
      </w:pPr>
      <w:r>
        <w:rPr>
          <w:rFonts w:hint="eastAsia" w:hAnsi="宋体"/>
        </w:rPr>
        <w:t>法定代表人或被授权人签字：</w:t>
      </w:r>
    </w:p>
    <w:p>
      <w:pPr>
        <w:pStyle w:val="25"/>
        <w:spacing w:line="400" w:lineRule="exact"/>
        <w:ind w:firstLine="840"/>
        <w:rPr>
          <w:rFonts w:hAnsi="宋体"/>
        </w:rPr>
      </w:pPr>
      <w:r>
        <w:rPr>
          <w:rFonts w:hint="eastAsia" w:hAnsi="宋体"/>
        </w:rPr>
        <w:t>供应商名称（公章）：</w:t>
      </w:r>
    </w:p>
    <w:p>
      <w:pPr>
        <w:pStyle w:val="25"/>
        <w:spacing w:line="400" w:lineRule="exact"/>
        <w:ind w:firstLine="840"/>
        <w:rPr>
          <w:rFonts w:hAnsi="宋体"/>
          <w:u w:val="single"/>
        </w:rPr>
      </w:pPr>
      <w:r>
        <w:rPr>
          <w:rFonts w:hint="eastAsia" w:hAnsi="宋体"/>
        </w:rPr>
        <w:t>日期：</w:t>
      </w:r>
      <w:r>
        <w:rPr>
          <w:rFonts w:hint="eastAsia" w:hAnsi="宋体"/>
          <w:lang w:val="en-US" w:eastAsia="zh-CN"/>
        </w:rPr>
        <w:t xml:space="preserve">      </w:t>
      </w:r>
      <w:r>
        <w:rPr>
          <w:rFonts w:hint="eastAsia" w:hAnsi="宋体"/>
        </w:rPr>
        <w:t>年</w:t>
      </w:r>
      <w:r>
        <w:rPr>
          <w:rFonts w:hint="eastAsia" w:hAnsi="宋体"/>
          <w:lang w:val="en-US" w:eastAsia="zh-CN"/>
        </w:rPr>
        <w:t xml:space="preserve">   </w:t>
      </w:r>
      <w:r>
        <w:rPr>
          <w:rFonts w:hint="eastAsia" w:hAnsi="宋体"/>
        </w:rPr>
        <w:t>月</w:t>
      </w:r>
      <w:r>
        <w:rPr>
          <w:rFonts w:hint="eastAsia" w:hAnsi="宋体"/>
          <w:lang w:val="en-US" w:eastAsia="zh-CN"/>
        </w:rPr>
        <w:t xml:space="preserve">   </w:t>
      </w:r>
      <w:r>
        <w:rPr>
          <w:rFonts w:hint="eastAsia" w:hAnsi="宋体"/>
        </w:rPr>
        <w:t>日</w:t>
      </w:r>
    </w:p>
    <w:p>
      <w:pPr>
        <w:pStyle w:val="25"/>
        <w:spacing w:line="400" w:lineRule="exact"/>
        <w:ind w:firstLine="840"/>
        <w:rPr>
          <w:rFonts w:hAnsi="宋体"/>
        </w:rPr>
      </w:pPr>
    </w:p>
    <w:p>
      <w:pPr>
        <w:pStyle w:val="25"/>
        <w:spacing w:line="400" w:lineRule="exact"/>
        <w:ind w:firstLine="840"/>
        <w:rPr>
          <w:rFonts w:hAnsi="宋体"/>
        </w:rPr>
      </w:pPr>
      <w:r>
        <w:rPr>
          <w:rFonts w:hint="eastAsia" w:hAnsi="宋体"/>
        </w:rPr>
        <w:t>开户银行：帐号/行号：</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b/>
          <w:szCs w:val="21"/>
        </w:rPr>
      </w:pPr>
      <w:r>
        <w:rPr>
          <w:rFonts w:ascii="宋体" w:hAnsi="宋体"/>
          <w:szCs w:val="21"/>
        </w:rPr>
        <w:br w:type="page"/>
      </w:r>
      <w:r>
        <w:rPr>
          <w:rFonts w:hint="eastAsia" w:ascii="宋体" w:hAnsi="宋体"/>
          <w:b/>
          <w:szCs w:val="21"/>
        </w:rPr>
        <w:t xml:space="preserve">附件二             </w:t>
      </w:r>
    </w:p>
    <w:p>
      <w:pPr>
        <w:spacing w:line="300" w:lineRule="auto"/>
        <w:jc w:val="center"/>
        <w:rPr>
          <w:rFonts w:ascii="宋体" w:hAnsi="宋体"/>
          <w:b/>
          <w:sz w:val="32"/>
          <w:szCs w:val="32"/>
        </w:rPr>
      </w:pPr>
      <w:bookmarkStart w:id="52" w:name="_Toc7592_WPSOffice_Level2"/>
      <w:r>
        <w:rPr>
          <w:rFonts w:hint="eastAsia" w:ascii="宋体" w:hAnsi="宋体"/>
          <w:b/>
          <w:sz w:val="32"/>
          <w:szCs w:val="32"/>
        </w:rPr>
        <w:t>报  价  表</w:t>
      </w:r>
      <w:bookmarkEnd w:id="52"/>
    </w:p>
    <w:p>
      <w:pPr>
        <w:spacing w:line="300" w:lineRule="auto"/>
        <w:rPr>
          <w:rFonts w:ascii="宋体" w:hAnsi="宋体"/>
          <w:szCs w:val="21"/>
        </w:rPr>
      </w:pPr>
    </w:p>
    <w:p>
      <w:pPr>
        <w:spacing w:line="400" w:lineRule="exact"/>
        <w:rPr>
          <w:rFonts w:ascii="宋体" w:hAnsi="宋体"/>
          <w:szCs w:val="21"/>
          <w:u w:val="single"/>
        </w:rPr>
      </w:pPr>
      <w:r>
        <w:rPr>
          <w:rFonts w:hint="eastAsia" w:ascii="宋体" w:hAnsi="宋体"/>
          <w:szCs w:val="21"/>
        </w:rPr>
        <w:t>采购项目编号:</w:t>
      </w:r>
    </w:p>
    <w:p>
      <w:pPr>
        <w:spacing w:line="400" w:lineRule="exact"/>
        <w:rPr>
          <w:rFonts w:ascii="宋体" w:hAnsi="宋体"/>
          <w:szCs w:val="21"/>
        </w:rPr>
      </w:pPr>
      <w:r>
        <w:rPr>
          <w:rFonts w:hint="eastAsia" w:ascii="宋体" w:hAnsi="宋体"/>
          <w:szCs w:val="21"/>
        </w:rPr>
        <w:t>采购项目名称:</w:t>
      </w:r>
    </w:p>
    <w:p>
      <w:pPr>
        <w:spacing w:line="400" w:lineRule="exact"/>
        <w:rPr>
          <w:rFonts w:ascii="宋体" w:hAnsi="宋体"/>
          <w:szCs w:val="21"/>
        </w:rPr>
      </w:pPr>
    </w:p>
    <w:p>
      <w:pPr>
        <w:spacing w:line="400" w:lineRule="exact"/>
        <w:rPr>
          <w:rFonts w:ascii="宋体" w:hAnsi="宋体"/>
          <w:szCs w:val="21"/>
        </w:rPr>
      </w:pPr>
      <w:r>
        <w:rPr>
          <w:rFonts w:hint="eastAsia"/>
          <w:u w:val="single"/>
        </w:rPr>
        <w:t>　　</w:t>
      </w:r>
      <w:r>
        <w:rPr>
          <w:rFonts w:hint="eastAsia"/>
        </w:rPr>
        <w:t>分标（有分标时填写）</w:t>
      </w:r>
    </w:p>
    <w:tbl>
      <w:tblPr>
        <w:tblStyle w:val="49"/>
        <w:tblW w:w="900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
        <w:gridCol w:w="2987"/>
        <w:gridCol w:w="1030"/>
        <w:gridCol w:w="4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hint="eastAsia" w:ascii="宋体" w:hAnsi="宋体"/>
                <w:b/>
                <w:szCs w:val="21"/>
              </w:rPr>
              <w:t>项号</w:t>
            </w:r>
          </w:p>
        </w:tc>
        <w:tc>
          <w:tcPr>
            <w:tcW w:w="29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ascii="宋体" w:hAnsi="宋体"/>
                <w:b/>
                <w:szCs w:val="21"/>
              </w:rPr>
              <w:t>服务</w:t>
            </w:r>
            <w:r>
              <w:rPr>
                <w:rFonts w:hint="eastAsia" w:ascii="宋体" w:hAnsi="宋体"/>
                <w:b/>
                <w:szCs w:val="21"/>
              </w:rPr>
              <w:t>名称</w:t>
            </w: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hint="eastAsia" w:ascii="宋体" w:hAnsi="宋体"/>
                <w:b/>
                <w:szCs w:val="21"/>
              </w:rPr>
              <w:t>数量</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hint="eastAsia" w:ascii="宋体" w:hAnsi="宋体"/>
                <w:b/>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1项</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00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服务期：</w:t>
            </w:r>
          </w:p>
        </w:tc>
      </w:tr>
    </w:tbl>
    <w:p>
      <w:pPr>
        <w:pStyle w:val="25"/>
        <w:rPr>
          <w:b/>
        </w:rPr>
      </w:pPr>
    </w:p>
    <w:p>
      <w:pPr>
        <w:pStyle w:val="25"/>
        <w:spacing w:line="400" w:lineRule="exact"/>
        <w:rPr>
          <w:rFonts w:hAnsi="宋体"/>
        </w:rPr>
      </w:pPr>
      <w:bookmarkStart w:id="53" w:name="_Toc356979893"/>
      <w:bookmarkStart w:id="54" w:name="_Toc356165644"/>
    </w:p>
    <w:p>
      <w:pPr>
        <w:pStyle w:val="25"/>
      </w:pPr>
      <w:r>
        <w:rPr>
          <w:rFonts w:hint="eastAsia"/>
        </w:rPr>
        <w:t>......</w:t>
      </w:r>
    </w:p>
    <w:p>
      <w:pPr>
        <w:pStyle w:val="25"/>
        <w:spacing w:line="400" w:lineRule="exact"/>
        <w:rPr>
          <w:rFonts w:hAnsi="宋体"/>
        </w:rPr>
      </w:pPr>
    </w:p>
    <w:p>
      <w:pPr>
        <w:pStyle w:val="25"/>
        <w:spacing w:line="400" w:lineRule="exact"/>
        <w:rPr>
          <w:rFonts w:hint="eastAsia" w:hAnsi="宋体"/>
          <w:lang w:eastAsia="zh-CN"/>
        </w:rPr>
      </w:pPr>
      <w:r>
        <w:rPr>
          <w:rFonts w:hint="eastAsia" w:hAnsi="宋体"/>
        </w:rPr>
        <w:t>供应商（公章）</w:t>
      </w:r>
      <w:r>
        <w:rPr>
          <w:rFonts w:hint="eastAsia" w:hAnsi="宋体"/>
          <w:lang w:eastAsia="zh-CN"/>
        </w:rPr>
        <w:t>：</w:t>
      </w:r>
    </w:p>
    <w:p>
      <w:pPr>
        <w:pStyle w:val="25"/>
        <w:spacing w:line="400" w:lineRule="exact"/>
        <w:rPr>
          <w:rFonts w:hint="eastAsia" w:hAnsi="宋体"/>
          <w:lang w:eastAsia="zh-CN"/>
        </w:rPr>
      </w:pPr>
    </w:p>
    <w:p>
      <w:pPr>
        <w:pStyle w:val="25"/>
        <w:spacing w:line="400" w:lineRule="exact"/>
        <w:rPr>
          <w:rFonts w:hint="eastAsia" w:hAnsi="宋体"/>
          <w:lang w:eastAsia="zh-CN"/>
        </w:rPr>
      </w:pPr>
      <w:r>
        <w:rPr>
          <w:rFonts w:hint="eastAsia" w:hAnsi="宋体"/>
        </w:rPr>
        <w:t>法定代表人或委托代理人签字</w:t>
      </w:r>
      <w:r>
        <w:rPr>
          <w:rFonts w:hint="eastAsia" w:hAnsi="宋体"/>
          <w:lang w:eastAsia="zh-CN"/>
        </w:rPr>
        <w:t>：</w:t>
      </w:r>
    </w:p>
    <w:p>
      <w:pPr>
        <w:pStyle w:val="25"/>
        <w:spacing w:line="400" w:lineRule="exact"/>
        <w:rPr>
          <w:rFonts w:hint="eastAsia" w:hAnsi="宋体"/>
          <w:lang w:eastAsia="zh-CN"/>
        </w:rPr>
      </w:pPr>
    </w:p>
    <w:p>
      <w:pPr>
        <w:pStyle w:val="25"/>
        <w:spacing w:line="400" w:lineRule="exact"/>
        <w:rPr>
          <w:rFonts w:hint="eastAsia" w:hAnsi="宋体" w:eastAsia="宋体"/>
          <w:lang w:eastAsia="zh-CN"/>
        </w:rPr>
      </w:pPr>
      <w:r>
        <w:rPr>
          <w:rFonts w:hint="eastAsia" w:hAnsi="宋体"/>
        </w:rPr>
        <w:t>日</w:t>
      </w:r>
      <w:r>
        <w:rPr>
          <w:rFonts w:hint="eastAsia" w:hAnsi="宋体"/>
          <w:lang w:val="en-US" w:eastAsia="zh-CN"/>
        </w:rPr>
        <w:t xml:space="preserve"> </w:t>
      </w:r>
      <w:r>
        <w:rPr>
          <w:rFonts w:hint="eastAsia" w:hAnsi="宋体"/>
        </w:rPr>
        <w:t>期</w:t>
      </w:r>
      <w:r>
        <w:rPr>
          <w:rFonts w:hint="eastAsia" w:hAnsi="宋体"/>
          <w:lang w:eastAsia="zh-CN"/>
        </w:rPr>
        <w:t>：</w:t>
      </w:r>
    </w:p>
    <w:p/>
    <w:p/>
    <w:p/>
    <w:p/>
    <w:bookmarkEnd w:id="53"/>
    <w:bookmarkEnd w:id="54"/>
    <w:p>
      <w:pPr>
        <w:spacing w:line="300" w:lineRule="auto"/>
        <w:rPr>
          <w:rFonts w:ascii="宋体" w:hAnsi="宋体"/>
          <w:b/>
          <w:szCs w:val="21"/>
        </w:rPr>
      </w:pPr>
      <w:r>
        <w:rPr>
          <w:rFonts w:ascii="宋体" w:hAnsi="宋体"/>
          <w:b/>
          <w:szCs w:val="21"/>
        </w:rPr>
        <w:br w:type="page"/>
      </w:r>
      <w:r>
        <w:rPr>
          <w:rFonts w:hint="eastAsia" w:ascii="宋体" w:hAnsi="宋体"/>
          <w:b/>
          <w:szCs w:val="21"/>
        </w:rPr>
        <w:t>附件三</w:t>
      </w:r>
    </w:p>
    <w:p>
      <w:pPr>
        <w:spacing w:line="300" w:lineRule="auto"/>
        <w:jc w:val="center"/>
        <w:rPr>
          <w:rFonts w:ascii="宋体" w:hAnsi="宋体"/>
          <w:b/>
          <w:sz w:val="32"/>
          <w:szCs w:val="32"/>
        </w:rPr>
      </w:pPr>
      <w:bookmarkStart w:id="55" w:name="_Toc21805_WPSOffice_Level2"/>
      <w:r>
        <w:rPr>
          <w:rFonts w:hint="eastAsia" w:ascii="宋体" w:hAnsi="宋体"/>
          <w:b/>
          <w:sz w:val="32"/>
          <w:szCs w:val="32"/>
        </w:rPr>
        <w:t>服务响应偏离情况说明表</w:t>
      </w:r>
      <w:bookmarkEnd w:id="55"/>
    </w:p>
    <w:p>
      <w:pPr>
        <w:spacing w:line="300" w:lineRule="auto"/>
        <w:rPr>
          <w:rFonts w:ascii="宋体" w:hAnsi="宋体"/>
          <w:szCs w:val="21"/>
        </w:rPr>
      </w:pPr>
    </w:p>
    <w:p>
      <w:pPr>
        <w:spacing w:line="300" w:lineRule="auto"/>
        <w:rPr>
          <w:rFonts w:ascii="宋体" w:hAnsi="宋体"/>
          <w:szCs w:val="21"/>
          <w:u w:val="single"/>
        </w:rPr>
      </w:pPr>
      <w:r>
        <w:rPr>
          <w:rFonts w:hint="eastAsia" w:ascii="宋体" w:hAnsi="宋体"/>
          <w:szCs w:val="21"/>
        </w:rPr>
        <w:t>采购项目编号:</w:t>
      </w:r>
    </w:p>
    <w:p>
      <w:pPr>
        <w:pStyle w:val="25"/>
        <w:spacing w:line="600" w:lineRule="exact"/>
        <w:rPr>
          <w:rFonts w:hAnsi="宋体"/>
        </w:rPr>
      </w:pPr>
      <w:r>
        <w:rPr>
          <w:rFonts w:hint="eastAsia" w:hAnsi="宋体"/>
        </w:rPr>
        <w:t>采购项目名称:</w:t>
      </w:r>
    </w:p>
    <w:p>
      <w:pPr>
        <w:pStyle w:val="25"/>
        <w:spacing w:line="600" w:lineRule="exact"/>
        <w:rPr>
          <w:rFonts w:ascii="Times New Roman" w:hAnsi="Times New Roman"/>
        </w:rPr>
      </w:pPr>
      <w:r>
        <w:rPr>
          <w:rFonts w:hint="eastAsia" w:ascii="Times New Roman" w:hAnsi="Times New Roman"/>
          <w:u w:val="single"/>
        </w:rPr>
        <w:t>　　</w:t>
      </w:r>
      <w:r>
        <w:rPr>
          <w:rFonts w:hint="eastAsia" w:ascii="Times New Roman" w:hAnsi="Times New Roman"/>
        </w:rPr>
        <w:t>分标</w:t>
      </w:r>
      <w:r>
        <w:rPr>
          <w:rFonts w:hint="eastAsia"/>
        </w:rPr>
        <w:t>（有分标时填写）</w:t>
      </w:r>
    </w:p>
    <w:tbl>
      <w:tblPr>
        <w:tblStyle w:val="4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16"/>
        <w:gridCol w:w="2256"/>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r>
              <w:rPr>
                <w:rFonts w:hint="eastAsia" w:hAnsi="宋体" w:cs="Times New Roman"/>
              </w:rPr>
              <w:t>项号</w:t>
            </w:r>
          </w:p>
        </w:tc>
        <w:tc>
          <w:tcPr>
            <w:tcW w:w="1316" w:type="dxa"/>
            <w:vAlign w:val="center"/>
          </w:tcPr>
          <w:p>
            <w:pPr>
              <w:pStyle w:val="25"/>
              <w:spacing w:line="360" w:lineRule="auto"/>
              <w:jc w:val="center"/>
              <w:rPr>
                <w:rFonts w:hAnsi="宋体" w:cs="Times New Roman"/>
              </w:rPr>
            </w:pPr>
            <w:r>
              <w:rPr>
                <w:rFonts w:hint="eastAsia" w:hAnsi="宋体" w:cs="Times New Roman"/>
              </w:rPr>
              <w:t>服务名称</w:t>
            </w:r>
          </w:p>
        </w:tc>
        <w:tc>
          <w:tcPr>
            <w:tcW w:w="2256" w:type="dxa"/>
            <w:vAlign w:val="center"/>
          </w:tcPr>
          <w:p>
            <w:pPr>
              <w:pStyle w:val="25"/>
              <w:spacing w:line="360" w:lineRule="auto"/>
              <w:jc w:val="center"/>
              <w:rPr>
                <w:rFonts w:hAnsi="宋体" w:cs="Times New Roman"/>
              </w:rPr>
            </w:pPr>
            <w:r>
              <w:rPr>
                <w:rFonts w:hint="eastAsia" w:hAnsi="宋体" w:cs="Times New Roman"/>
              </w:rPr>
              <w:t>服务要求</w:t>
            </w:r>
          </w:p>
        </w:tc>
        <w:tc>
          <w:tcPr>
            <w:tcW w:w="2256" w:type="dxa"/>
            <w:vAlign w:val="center"/>
          </w:tcPr>
          <w:p>
            <w:pPr>
              <w:pStyle w:val="25"/>
              <w:spacing w:line="360" w:lineRule="auto"/>
              <w:jc w:val="center"/>
              <w:rPr>
                <w:rFonts w:hAnsi="宋体" w:cs="Times New Roman"/>
              </w:rPr>
            </w:pPr>
            <w:r>
              <w:rPr>
                <w:rFonts w:hint="eastAsia" w:hAnsi="宋体" w:cs="Times New Roman"/>
              </w:rPr>
              <w:t>竞标响应情况</w:t>
            </w:r>
          </w:p>
        </w:tc>
        <w:tc>
          <w:tcPr>
            <w:tcW w:w="1188" w:type="dxa"/>
            <w:vAlign w:val="center"/>
          </w:tcPr>
          <w:p>
            <w:pPr>
              <w:pStyle w:val="25"/>
              <w:spacing w:line="360" w:lineRule="auto"/>
              <w:jc w:val="center"/>
              <w:rPr>
                <w:rFonts w:hAnsi="宋体" w:cs="Times New Roman"/>
              </w:rPr>
            </w:pPr>
            <w:r>
              <w:rPr>
                <w:rFonts w:hint="eastAsia" w:hAnsi="宋体" w:cs="Times New Roman"/>
              </w:rPr>
              <w:t>偏离</w:t>
            </w:r>
          </w:p>
        </w:tc>
        <w:tc>
          <w:tcPr>
            <w:tcW w:w="1145" w:type="dxa"/>
            <w:vAlign w:val="center"/>
          </w:tcPr>
          <w:p>
            <w:pPr>
              <w:pStyle w:val="25"/>
              <w:spacing w:line="360" w:lineRule="auto"/>
              <w:jc w:val="center"/>
              <w:rPr>
                <w:rFonts w:hAnsi="宋体" w:cs="Times New Roman"/>
              </w:rPr>
            </w:pPr>
            <w:r>
              <w:rPr>
                <w:rFonts w:hint="eastAsia" w:hAnsi="宋体"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p>
        </w:tc>
        <w:tc>
          <w:tcPr>
            <w:tcW w:w="131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5"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p>
        </w:tc>
        <w:tc>
          <w:tcPr>
            <w:tcW w:w="131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5"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p>
        </w:tc>
        <w:tc>
          <w:tcPr>
            <w:tcW w:w="131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5"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p>
        </w:tc>
        <w:tc>
          <w:tcPr>
            <w:tcW w:w="131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5" w:type="dxa"/>
            <w:vAlign w:val="center"/>
          </w:tcPr>
          <w:p>
            <w:pPr>
              <w:pStyle w:val="25"/>
              <w:spacing w:line="360" w:lineRule="auto"/>
              <w:jc w:val="center"/>
              <w:rPr>
                <w:rFonts w:hAnsi="宋体" w:cs="MingLiU_HKSCS"/>
              </w:rPr>
            </w:pPr>
          </w:p>
        </w:tc>
      </w:tr>
    </w:tbl>
    <w:p>
      <w:pPr>
        <w:pStyle w:val="25"/>
        <w:spacing w:line="400" w:lineRule="exact"/>
      </w:pPr>
      <w:r>
        <w:rPr>
          <w:rFonts w:hint="eastAsia" w:hAnsi="宋体"/>
        </w:rPr>
        <w:t>说明：应对照谈判采购文件“第三章 项目需求”，逐条说明所提供货物或服务已对谈判采购文件的技术需求做出了实质性的响应，并申明与技术需求条文的响应和偏离。</w:t>
      </w:r>
    </w:p>
    <w:p>
      <w:pPr>
        <w:pStyle w:val="25"/>
        <w:spacing w:line="400" w:lineRule="exact"/>
        <w:rPr>
          <w:rFonts w:hAnsi="宋体"/>
        </w:rPr>
      </w:pPr>
    </w:p>
    <w:p>
      <w:pPr>
        <w:pStyle w:val="25"/>
        <w:spacing w:line="600" w:lineRule="exact"/>
        <w:rPr>
          <w:rFonts w:ascii="Times New Roman" w:hAnsi="Times New Roman"/>
        </w:rPr>
      </w:pPr>
      <w:r>
        <w:rPr>
          <w:rFonts w:hint="eastAsia" w:ascii="Times New Roman" w:hAnsi="Times New Roman"/>
          <w:u w:val="single"/>
        </w:rPr>
        <w:t>　　</w:t>
      </w:r>
      <w:r>
        <w:rPr>
          <w:rFonts w:hint="eastAsia" w:ascii="Times New Roman" w:hAnsi="Times New Roman"/>
        </w:rPr>
        <w:t>分标</w:t>
      </w:r>
      <w:r>
        <w:rPr>
          <w:rFonts w:hint="eastAsia"/>
        </w:rPr>
        <w:t>（有分标时填写）</w:t>
      </w:r>
    </w:p>
    <w:p>
      <w:pPr>
        <w:pStyle w:val="25"/>
      </w:pPr>
      <w:r>
        <w:rPr>
          <w:rFonts w:hint="eastAsia"/>
        </w:rPr>
        <w:t>......</w:t>
      </w:r>
    </w:p>
    <w:p>
      <w:pPr>
        <w:pStyle w:val="25"/>
        <w:spacing w:line="360" w:lineRule="auto"/>
        <w:rPr>
          <w:rFonts w:hAnsi="宋体" w:cs="Times New Roman"/>
        </w:rPr>
      </w:pPr>
    </w:p>
    <w:p>
      <w:pPr>
        <w:pStyle w:val="25"/>
        <w:spacing w:line="300" w:lineRule="auto"/>
        <w:rPr>
          <w:rFonts w:hAnsi="宋体"/>
        </w:rPr>
      </w:pPr>
    </w:p>
    <w:p>
      <w:pPr>
        <w:pStyle w:val="25"/>
        <w:spacing w:line="300" w:lineRule="auto"/>
        <w:rPr>
          <w:rFonts w:hAnsi="宋体"/>
        </w:rPr>
      </w:pPr>
    </w:p>
    <w:p>
      <w:pPr>
        <w:pStyle w:val="25"/>
        <w:spacing w:line="300" w:lineRule="auto"/>
        <w:rPr>
          <w:rFonts w:hAnsi="宋体"/>
        </w:rPr>
      </w:pPr>
    </w:p>
    <w:p>
      <w:pPr>
        <w:pStyle w:val="25"/>
        <w:spacing w:line="300" w:lineRule="auto"/>
        <w:rPr>
          <w:rFonts w:hint="eastAsia" w:hAnsi="宋体"/>
        </w:rPr>
      </w:pPr>
      <w:r>
        <w:rPr>
          <w:rFonts w:hint="eastAsia" w:hAnsi="宋体"/>
        </w:rPr>
        <w:t>法定代表人或被授权人（签字）:</w:t>
      </w:r>
    </w:p>
    <w:p>
      <w:pPr>
        <w:pStyle w:val="25"/>
        <w:spacing w:line="300" w:lineRule="auto"/>
        <w:rPr>
          <w:rFonts w:hint="eastAsia" w:hAnsi="宋体"/>
        </w:rPr>
      </w:pPr>
    </w:p>
    <w:p>
      <w:pPr>
        <w:pStyle w:val="25"/>
        <w:spacing w:line="300" w:lineRule="auto"/>
        <w:rPr>
          <w:rFonts w:hint="eastAsia" w:hAnsi="宋体"/>
        </w:rPr>
      </w:pPr>
      <w:r>
        <w:rPr>
          <w:rFonts w:hint="eastAsia" w:hAnsi="宋体"/>
        </w:rPr>
        <w:t>供应商名称（公章）：</w:t>
      </w:r>
    </w:p>
    <w:p>
      <w:pPr>
        <w:pStyle w:val="25"/>
        <w:spacing w:line="300" w:lineRule="auto"/>
        <w:rPr>
          <w:rFonts w:hint="eastAsia" w:hAnsi="宋体"/>
        </w:rPr>
      </w:pPr>
    </w:p>
    <w:p>
      <w:pPr>
        <w:pStyle w:val="25"/>
        <w:spacing w:line="300" w:lineRule="auto"/>
        <w:rPr>
          <w:rFonts w:hAnsi="宋体"/>
        </w:rPr>
      </w:pPr>
      <w:r>
        <w:rPr>
          <w:rFonts w:hint="eastAsia" w:hAnsi="宋体"/>
        </w:rPr>
        <w:t>日</w:t>
      </w:r>
      <w:r>
        <w:rPr>
          <w:rFonts w:hint="eastAsia" w:hAnsi="宋体"/>
          <w:lang w:val="en-US" w:eastAsia="zh-CN"/>
        </w:rPr>
        <w:t xml:space="preserve"> </w:t>
      </w:r>
      <w:r>
        <w:rPr>
          <w:rFonts w:hint="eastAsia" w:hAnsi="宋体"/>
        </w:rPr>
        <w:t>期：</w:t>
      </w:r>
      <w:r>
        <w:rPr>
          <w:rFonts w:hint="eastAsia" w:hAnsi="宋体"/>
          <w:lang w:val="en-US" w:eastAsia="zh-CN"/>
        </w:rPr>
        <w:t xml:space="preserve">    </w:t>
      </w:r>
      <w:r>
        <w:rPr>
          <w:rFonts w:hint="eastAsia" w:hAnsi="宋体"/>
        </w:rPr>
        <w:t>年</w:t>
      </w:r>
      <w:r>
        <w:rPr>
          <w:rFonts w:hint="eastAsia" w:hAnsi="宋体"/>
          <w:lang w:val="en-US" w:eastAsia="zh-CN"/>
        </w:rPr>
        <w:t xml:space="preserve">   </w:t>
      </w:r>
      <w:r>
        <w:rPr>
          <w:rFonts w:hint="eastAsia" w:hAnsi="宋体"/>
        </w:rPr>
        <w:t>月</w:t>
      </w:r>
      <w:r>
        <w:rPr>
          <w:rFonts w:hint="eastAsia" w:hAnsi="宋体"/>
          <w:lang w:val="en-US" w:eastAsia="zh-CN"/>
        </w:rPr>
        <w:t xml:space="preserve">   </w:t>
      </w:r>
      <w:r>
        <w:rPr>
          <w:rFonts w:hint="eastAsia" w:hAnsi="宋体"/>
        </w:rPr>
        <w:t xml:space="preserve">日 </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b/>
          <w:szCs w:val="21"/>
        </w:rPr>
      </w:pPr>
      <w:r>
        <w:rPr>
          <w:rFonts w:ascii="宋体" w:hAnsi="宋体"/>
          <w:szCs w:val="21"/>
        </w:rPr>
        <w:br w:type="page"/>
      </w:r>
    </w:p>
    <w:p>
      <w:pPr>
        <w:spacing w:line="300" w:lineRule="auto"/>
        <w:rPr>
          <w:rFonts w:ascii="宋体" w:hAnsi="宋体"/>
          <w:b/>
          <w:szCs w:val="21"/>
        </w:rPr>
      </w:pPr>
      <w:bookmarkStart w:id="56" w:name="_Toc27486_WPSOffice_Level2"/>
      <w:r>
        <w:rPr>
          <w:rFonts w:hint="eastAsia" w:ascii="宋体" w:hAnsi="宋体"/>
          <w:b/>
          <w:szCs w:val="21"/>
        </w:rPr>
        <w:t>附件四</w:t>
      </w:r>
      <w:bookmarkEnd w:id="56"/>
    </w:p>
    <w:p>
      <w:pPr>
        <w:spacing w:line="300" w:lineRule="auto"/>
        <w:rPr>
          <w:rFonts w:ascii="宋体" w:hAnsi="宋体"/>
          <w:b/>
          <w:szCs w:val="21"/>
        </w:rPr>
      </w:pPr>
    </w:p>
    <w:p>
      <w:pPr>
        <w:spacing w:line="500" w:lineRule="exact"/>
        <w:jc w:val="left"/>
        <w:rPr>
          <w:b/>
          <w:bCs/>
          <w:kern w:val="0"/>
          <w:sz w:val="30"/>
          <w:szCs w:val="30"/>
        </w:rPr>
      </w:pPr>
      <w:bookmarkStart w:id="57" w:name="_Toc17277_WPSOffice_Level2"/>
      <w:r>
        <w:rPr>
          <w:rFonts w:hint="eastAsia"/>
          <w:b/>
          <w:bCs/>
          <w:kern w:val="0"/>
          <w:szCs w:val="21"/>
        </w:rPr>
        <w:t xml:space="preserve">                    </w:t>
      </w:r>
      <w:r>
        <w:rPr>
          <w:rFonts w:hint="eastAsia"/>
          <w:b/>
          <w:bCs/>
          <w:kern w:val="0"/>
          <w:sz w:val="30"/>
          <w:szCs w:val="30"/>
        </w:rPr>
        <w:t>商务条款偏离表（格式）</w:t>
      </w:r>
    </w:p>
    <w:p>
      <w:pPr>
        <w:spacing w:line="440" w:lineRule="exact"/>
        <w:ind w:firstLine="396" w:firstLineChars="198"/>
        <w:rPr>
          <w:rFonts w:ascii="宋体" w:hAnsi="宋体"/>
          <w:kern w:val="0"/>
          <w:sz w:val="20"/>
          <w:szCs w:val="20"/>
        </w:rPr>
      </w:pPr>
    </w:p>
    <w:p>
      <w:pPr>
        <w:spacing w:line="440" w:lineRule="exact"/>
        <w:ind w:firstLine="400" w:firstLineChars="200"/>
        <w:rPr>
          <w:rFonts w:ascii="黑体" w:hAnsi="宋体" w:eastAsia="黑体"/>
          <w:b/>
          <w:kern w:val="0"/>
          <w:sz w:val="20"/>
          <w:szCs w:val="20"/>
        </w:rPr>
      </w:pPr>
      <w:r>
        <w:rPr>
          <w:rFonts w:hint="eastAsia" w:ascii="宋体" w:hAnsi="宋体"/>
          <w:kern w:val="0"/>
          <w:sz w:val="20"/>
          <w:szCs w:val="20"/>
        </w:rPr>
        <w:t>请</w:t>
      </w:r>
      <w:r>
        <w:rPr>
          <w:rFonts w:hint="eastAsia" w:ascii="黑体" w:hAnsi="宋体" w:eastAsia="黑体"/>
          <w:b/>
          <w:kern w:val="0"/>
          <w:sz w:val="20"/>
          <w:szCs w:val="20"/>
        </w:rPr>
        <w:t>逐条对应</w:t>
      </w:r>
      <w:r>
        <w:rPr>
          <w:rFonts w:hint="eastAsia" w:ascii="宋体" w:hAnsi="宋体"/>
          <w:kern w:val="0"/>
          <w:sz w:val="20"/>
          <w:szCs w:val="20"/>
        </w:rPr>
        <w:t>本项目竞争性谈判采购文件第二章“服务需求一览表”中商务条款的要求，认真填写该表，“偏离说明”一栏选择“正偏离”、“负偏离”或“无偏离”进行填写，</w:t>
      </w:r>
      <w:r>
        <w:rPr>
          <w:rFonts w:hint="eastAsia" w:ascii="黑体" w:hAnsi="宋体" w:eastAsia="黑体"/>
          <w:b/>
          <w:kern w:val="0"/>
          <w:sz w:val="20"/>
          <w:szCs w:val="20"/>
        </w:rPr>
        <w:t>否则竞标无效。</w:t>
      </w:r>
    </w:p>
    <w:p>
      <w:pPr>
        <w:spacing w:line="440" w:lineRule="exact"/>
        <w:ind w:firstLine="396" w:firstLineChars="198"/>
        <w:rPr>
          <w:rFonts w:ascii="宋体" w:hAnsi="宋体"/>
          <w:kern w:val="0"/>
          <w:sz w:val="20"/>
          <w:szCs w:val="20"/>
        </w:rPr>
      </w:pPr>
    </w:p>
    <w:p>
      <w:pPr>
        <w:rPr>
          <w:kern w:val="0"/>
          <w:sz w:val="20"/>
          <w:szCs w:val="20"/>
        </w:rPr>
      </w:pPr>
      <w:r>
        <w:rPr>
          <w:kern w:val="0"/>
          <w:sz w:val="20"/>
          <w:szCs w:val="20"/>
          <w:u w:val="single"/>
        </w:rPr>
        <w:t xml:space="preserve"> </w:t>
      </w:r>
      <w:r>
        <w:rPr>
          <w:rFonts w:hint="eastAsia"/>
          <w:kern w:val="0"/>
          <w:sz w:val="20"/>
          <w:szCs w:val="20"/>
          <w:u w:val="single"/>
        </w:rPr>
        <w:t>　　</w:t>
      </w:r>
      <w:r>
        <w:rPr>
          <w:rFonts w:hint="eastAsia"/>
          <w:kern w:val="0"/>
          <w:sz w:val="20"/>
          <w:szCs w:val="20"/>
        </w:rPr>
        <w:t>分标</w:t>
      </w:r>
      <w:r>
        <w:rPr>
          <w:rFonts w:hint="eastAsia" w:ascii="宋体" w:hAnsi="Courier New"/>
          <w:kern w:val="0"/>
          <w:sz w:val="20"/>
          <w:szCs w:val="20"/>
        </w:rPr>
        <w:t>（有分标时注明）</w:t>
      </w:r>
    </w:p>
    <w:tbl>
      <w:tblPr>
        <w:tblStyle w:val="4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20"/>
              </w:rPr>
            </w:pPr>
            <w:r>
              <w:rPr>
                <w:rFonts w:hint="eastAsia"/>
                <w:szCs w:val="20"/>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20"/>
              </w:rPr>
            </w:pPr>
            <w:r>
              <w:rPr>
                <w:rFonts w:hint="eastAsia"/>
                <w:szCs w:val="20"/>
              </w:rPr>
              <w:t>竞争性谈判采购文件的商务条款</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20"/>
              </w:rPr>
            </w:pPr>
            <w:r>
              <w:rPr>
                <w:rFonts w:hint="eastAsia"/>
                <w:szCs w:val="20"/>
              </w:rPr>
              <w:t>竞标文件承诺的商务条款</w:t>
            </w: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20"/>
              </w:rPr>
            </w:pPr>
            <w:r>
              <w:rPr>
                <w:rFonts w:hint="eastAsia"/>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spacing w:val="-20"/>
                <w:szCs w:val="20"/>
              </w:rPr>
            </w:pPr>
            <w:r>
              <w:rPr>
                <w:rFonts w:hint="eastAsia" w:ascii="宋体" w:hAnsi="Courier New"/>
                <w:spacing w:val="-20"/>
                <w:szCs w:val="20"/>
              </w:rPr>
              <w:t>1</w:t>
            </w:r>
          </w:p>
        </w:tc>
        <w:tc>
          <w:tcPr>
            <w:tcW w:w="4071" w:type="dxa"/>
            <w:tcBorders>
              <w:top w:val="single" w:color="auto" w:sz="4" w:space="0"/>
              <w:left w:val="single" w:color="auto" w:sz="4" w:space="0"/>
              <w:bottom w:val="single" w:color="auto" w:sz="4" w:space="0"/>
              <w:right w:val="single" w:color="auto" w:sz="4" w:space="0"/>
            </w:tcBorders>
          </w:tcPr>
          <w:p>
            <w:pPr>
              <w:jc w:val="center"/>
              <w:rPr>
                <w:rFonts w:ascii="宋体" w:hAnsi="Courier New"/>
                <w:spacing w:val="-20"/>
                <w:szCs w:val="20"/>
              </w:rPr>
            </w:pPr>
          </w:p>
        </w:tc>
        <w:tc>
          <w:tcPr>
            <w:tcW w:w="396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c>
          <w:tcPr>
            <w:tcW w:w="108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spacing w:val="-20"/>
                <w:szCs w:val="20"/>
              </w:rPr>
            </w:pPr>
            <w:r>
              <w:rPr>
                <w:rFonts w:hint="eastAsia" w:ascii="宋体" w:hAnsi="Courier New"/>
                <w:spacing w:val="-20"/>
                <w:szCs w:val="20"/>
              </w:rPr>
              <w:t>2</w:t>
            </w:r>
          </w:p>
        </w:tc>
        <w:tc>
          <w:tcPr>
            <w:tcW w:w="4071" w:type="dxa"/>
            <w:tcBorders>
              <w:top w:val="single" w:color="auto" w:sz="4" w:space="0"/>
              <w:left w:val="single" w:color="auto" w:sz="4" w:space="0"/>
              <w:bottom w:val="single" w:color="auto" w:sz="4" w:space="0"/>
              <w:right w:val="single" w:color="auto" w:sz="4" w:space="0"/>
            </w:tcBorders>
          </w:tcPr>
          <w:p>
            <w:pPr>
              <w:jc w:val="center"/>
              <w:rPr>
                <w:rFonts w:ascii="宋体" w:hAnsi="Courier New"/>
                <w:spacing w:val="-20"/>
                <w:szCs w:val="20"/>
              </w:rPr>
            </w:pPr>
          </w:p>
        </w:tc>
        <w:tc>
          <w:tcPr>
            <w:tcW w:w="396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c>
          <w:tcPr>
            <w:tcW w:w="108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spacing w:val="-20"/>
                <w:szCs w:val="20"/>
              </w:rPr>
            </w:pPr>
            <w:r>
              <w:rPr>
                <w:rFonts w:hint="eastAsia" w:ascii="宋体" w:hAnsi="Courier New"/>
                <w:spacing w:val="-20"/>
                <w:szCs w:val="20"/>
              </w:rPr>
              <w:t>...</w:t>
            </w:r>
          </w:p>
        </w:tc>
        <w:tc>
          <w:tcPr>
            <w:tcW w:w="4071" w:type="dxa"/>
            <w:tcBorders>
              <w:top w:val="single" w:color="auto" w:sz="4" w:space="0"/>
              <w:left w:val="single" w:color="auto" w:sz="4" w:space="0"/>
              <w:bottom w:val="single" w:color="auto" w:sz="4" w:space="0"/>
              <w:right w:val="single" w:color="auto" w:sz="4" w:space="0"/>
            </w:tcBorders>
          </w:tcPr>
          <w:p>
            <w:pPr>
              <w:jc w:val="center"/>
              <w:rPr>
                <w:rFonts w:ascii="宋体" w:hAnsi="Courier New"/>
                <w:spacing w:val="-20"/>
                <w:szCs w:val="20"/>
              </w:rPr>
            </w:pPr>
          </w:p>
        </w:tc>
        <w:tc>
          <w:tcPr>
            <w:tcW w:w="396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c>
          <w:tcPr>
            <w:tcW w:w="108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r>
    </w:tbl>
    <w:p>
      <w:pPr>
        <w:spacing w:line="600" w:lineRule="exact"/>
        <w:rPr>
          <w:kern w:val="0"/>
          <w:sz w:val="20"/>
          <w:szCs w:val="20"/>
        </w:rPr>
      </w:pPr>
      <w:r>
        <w:rPr>
          <w:rFonts w:hint="eastAsia"/>
          <w:kern w:val="0"/>
          <w:sz w:val="20"/>
          <w:szCs w:val="20"/>
          <w:u w:val="single"/>
        </w:rPr>
        <w:t>　　</w:t>
      </w:r>
      <w:r>
        <w:rPr>
          <w:rFonts w:hint="eastAsia"/>
          <w:kern w:val="0"/>
          <w:sz w:val="20"/>
          <w:szCs w:val="20"/>
        </w:rPr>
        <w:t>分标</w:t>
      </w:r>
      <w:r>
        <w:rPr>
          <w:rFonts w:hint="eastAsia" w:ascii="宋体" w:hAnsi="Courier New"/>
          <w:kern w:val="0"/>
          <w:sz w:val="20"/>
          <w:szCs w:val="20"/>
        </w:rPr>
        <w:t>（有分标时注明）</w:t>
      </w:r>
    </w:p>
    <w:p>
      <w:pPr>
        <w:adjustRightInd w:val="0"/>
        <w:snapToGrid w:val="0"/>
        <w:spacing w:line="360" w:lineRule="auto"/>
        <w:ind w:right="120"/>
        <w:jc w:val="right"/>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b/>
          <w:szCs w:val="21"/>
        </w:rPr>
      </w:pPr>
      <w:r>
        <w:rPr>
          <w:rFonts w:ascii="宋体" w:hAnsi="宋体"/>
          <w:szCs w:val="21"/>
        </w:rPr>
        <w:br w:type="page"/>
      </w:r>
    </w:p>
    <w:p>
      <w:pPr>
        <w:spacing w:line="300" w:lineRule="auto"/>
        <w:jc w:val="both"/>
        <w:rPr>
          <w:rFonts w:hint="eastAsia" w:ascii="宋体" w:hAnsi="宋体" w:eastAsia="宋体"/>
          <w:b/>
          <w:sz w:val="28"/>
          <w:szCs w:val="28"/>
          <w:lang w:eastAsia="zh-CN"/>
        </w:rPr>
      </w:pPr>
      <w:r>
        <w:rPr>
          <w:rFonts w:hint="eastAsia" w:ascii="宋体" w:hAnsi="宋体"/>
          <w:b/>
          <w:sz w:val="28"/>
          <w:szCs w:val="28"/>
          <w:lang w:eastAsia="zh-CN"/>
        </w:rPr>
        <w:t>附件五</w:t>
      </w:r>
    </w:p>
    <w:p>
      <w:pPr>
        <w:spacing w:line="300" w:lineRule="auto"/>
        <w:jc w:val="center"/>
        <w:rPr>
          <w:rFonts w:ascii="宋体" w:hAnsi="宋体"/>
          <w:b/>
          <w:sz w:val="32"/>
          <w:szCs w:val="32"/>
        </w:rPr>
      </w:pPr>
      <w:r>
        <w:rPr>
          <w:rFonts w:hint="eastAsia" w:ascii="宋体" w:hAnsi="宋体"/>
          <w:b/>
          <w:sz w:val="32"/>
          <w:szCs w:val="32"/>
        </w:rPr>
        <w:t>投入设备响应表</w:t>
      </w:r>
      <w:bookmarkEnd w:id="57"/>
    </w:p>
    <w:p>
      <w:pPr>
        <w:spacing w:line="300" w:lineRule="auto"/>
        <w:rPr>
          <w:rFonts w:ascii="宋体" w:hAnsi="宋体"/>
          <w:szCs w:val="21"/>
        </w:rPr>
      </w:pPr>
    </w:p>
    <w:p>
      <w:pPr>
        <w:spacing w:line="300" w:lineRule="auto"/>
        <w:rPr>
          <w:rFonts w:ascii="宋体" w:hAnsi="宋体"/>
          <w:szCs w:val="21"/>
          <w:u w:val="single"/>
        </w:rPr>
      </w:pPr>
      <w:r>
        <w:rPr>
          <w:rFonts w:hint="eastAsia" w:ascii="宋体" w:hAnsi="宋体"/>
          <w:szCs w:val="21"/>
        </w:rPr>
        <w:t>采购项目编号:</w:t>
      </w:r>
    </w:p>
    <w:p>
      <w:pPr>
        <w:spacing w:line="300" w:lineRule="auto"/>
        <w:rPr>
          <w:rFonts w:ascii="宋体" w:hAnsi="宋体"/>
          <w:szCs w:val="21"/>
        </w:rPr>
      </w:pPr>
      <w:r>
        <w:rPr>
          <w:rFonts w:hint="eastAsia" w:ascii="宋体" w:hAnsi="宋体"/>
          <w:szCs w:val="21"/>
        </w:rPr>
        <w:t>采购项目名称:</w:t>
      </w:r>
    </w:p>
    <w:tbl>
      <w:tblPr>
        <w:tblStyle w:val="4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76"/>
        <w:gridCol w:w="1896"/>
        <w:gridCol w:w="2256"/>
        <w:gridCol w:w="118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r>
              <w:rPr>
                <w:rFonts w:hint="eastAsia" w:hAnsi="宋体" w:cs="Times New Roman"/>
              </w:rPr>
              <w:t>项号</w:t>
            </w:r>
          </w:p>
        </w:tc>
        <w:tc>
          <w:tcPr>
            <w:tcW w:w="1676" w:type="dxa"/>
            <w:vAlign w:val="center"/>
          </w:tcPr>
          <w:p>
            <w:pPr>
              <w:pStyle w:val="25"/>
              <w:spacing w:line="360" w:lineRule="auto"/>
              <w:jc w:val="center"/>
              <w:rPr>
                <w:rFonts w:hAnsi="宋体" w:cs="Times New Roman"/>
              </w:rPr>
            </w:pPr>
            <w:r>
              <w:rPr>
                <w:rFonts w:hint="eastAsia" w:hAnsi="宋体" w:cs="Times New Roman"/>
              </w:rPr>
              <w:t>投入设备名称</w:t>
            </w:r>
          </w:p>
        </w:tc>
        <w:tc>
          <w:tcPr>
            <w:tcW w:w="1896" w:type="dxa"/>
            <w:vAlign w:val="center"/>
          </w:tcPr>
          <w:p>
            <w:pPr>
              <w:pStyle w:val="25"/>
              <w:spacing w:line="360" w:lineRule="auto"/>
              <w:jc w:val="center"/>
              <w:rPr>
                <w:rFonts w:hAnsi="宋体" w:cs="Times New Roman"/>
              </w:rPr>
            </w:pPr>
            <w:r>
              <w:rPr>
                <w:rFonts w:hint="eastAsia" w:hAnsi="宋体" w:cs="Times New Roman"/>
              </w:rPr>
              <w:t>采购文件要求</w:t>
            </w:r>
          </w:p>
        </w:tc>
        <w:tc>
          <w:tcPr>
            <w:tcW w:w="2256" w:type="dxa"/>
            <w:vAlign w:val="center"/>
          </w:tcPr>
          <w:p>
            <w:pPr>
              <w:pStyle w:val="25"/>
              <w:spacing w:line="360" w:lineRule="auto"/>
              <w:jc w:val="center"/>
              <w:rPr>
                <w:rFonts w:hAnsi="宋体" w:cs="Times New Roman"/>
              </w:rPr>
            </w:pPr>
            <w:r>
              <w:rPr>
                <w:rFonts w:hint="eastAsia" w:hAnsi="宋体" w:cs="Times New Roman"/>
              </w:rPr>
              <w:t>竞标响应情况</w:t>
            </w:r>
          </w:p>
        </w:tc>
        <w:tc>
          <w:tcPr>
            <w:tcW w:w="1188" w:type="dxa"/>
            <w:vAlign w:val="center"/>
          </w:tcPr>
          <w:p>
            <w:pPr>
              <w:pStyle w:val="25"/>
              <w:spacing w:line="360" w:lineRule="auto"/>
              <w:jc w:val="center"/>
              <w:rPr>
                <w:rFonts w:hAnsi="宋体" w:cs="Times New Roman"/>
              </w:rPr>
            </w:pPr>
            <w:r>
              <w:rPr>
                <w:rFonts w:hint="eastAsia" w:hAnsi="宋体" w:cs="Times New Roman"/>
              </w:rPr>
              <w:t>偏离</w:t>
            </w:r>
          </w:p>
        </w:tc>
        <w:tc>
          <w:tcPr>
            <w:tcW w:w="1143" w:type="dxa"/>
            <w:vAlign w:val="center"/>
          </w:tcPr>
          <w:p>
            <w:pPr>
              <w:pStyle w:val="25"/>
              <w:spacing w:line="360" w:lineRule="auto"/>
              <w:jc w:val="center"/>
              <w:rPr>
                <w:rFonts w:hAnsi="宋体" w:cs="Times New Roman"/>
              </w:rPr>
            </w:pPr>
            <w:r>
              <w:rPr>
                <w:rFonts w:hint="eastAsia" w:hAnsi="宋体"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p>
        </w:tc>
        <w:tc>
          <w:tcPr>
            <w:tcW w:w="1676" w:type="dxa"/>
            <w:vAlign w:val="center"/>
          </w:tcPr>
          <w:p>
            <w:pPr>
              <w:pStyle w:val="25"/>
              <w:spacing w:line="360" w:lineRule="auto"/>
              <w:jc w:val="center"/>
              <w:rPr>
                <w:rFonts w:hAnsi="宋体" w:cs="Times New Roman"/>
              </w:rPr>
            </w:pPr>
          </w:p>
        </w:tc>
        <w:tc>
          <w:tcPr>
            <w:tcW w:w="189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3"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p>
        </w:tc>
        <w:tc>
          <w:tcPr>
            <w:tcW w:w="1676" w:type="dxa"/>
            <w:vAlign w:val="center"/>
          </w:tcPr>
          <w:p>
            <w:pPr>
              <w:pStyle w:val="25"/>
              <w:spacing w:line="360" w:lineRule="auto"/>
              <w:jc w:val="center"/>
              <w:rPr>
                <w:rFonts w:hAnsi="宋体" w:cs="Times New Roman"/>
              </w:rPr>
            </w:pPr>
          </w:p>
        </w:tc>
        <w:tc>
          <w:tcPr>
            <w:tcW w:w="189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3"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p>
        </w:tc>
        <w:tc>
          <w:tcPr>
            <w:tcW w:w="1676" w:type="dxa"/>
            <w:vAlign w:val="center"/>
          </w:tcPr>
          <w:p>
            <w:pPr>
              <w:pStyle w:val="25"/>
              <w:spacing w:line="360" w:lineRule="auto"/>
              <w:jc w:val="center"/>
              <w:rPr>
                <w:rFonts w:hAnsi="宋体" w:cs="Times New Roman"/>
              </w:rPr>
            </w:pPr>
          </w:p>
        </w:tc>
        <w:tc>
          <w:tcPr>
            <w:tcW w:w="189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3"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p>
        </w:tc>
        <w:tc>
          <w:tcPr>
            <w:tcW w:w="1676" w:type="dxa"/>
            <w:vAlign w:val="center"/>
          </w:tcPr>
          <w:p>
            <w:pPr>
              <w:pStyle w:val="25"/>
              <w:spacing w:line="360" w:lineRule="auto"/>
              <w:jc w:val="center"/>
              <w:rPr>
                <w:rFonts w:hAnsi="宋体" w:cs="Times New Roman"/>
              </w:rPr>
            </w:pPr>
          </w:p>
        </w:tc>
        <w:tc>
          <w:tcPr>
            <w:tcW w:w="189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3" w:type="dxa"/>
            <w:vAlign w:val="center"/>
          </w:tcPr>
          <w:p>
            <w:pPr>
              <w:pStyle w:val="25"/>
              <w:spacing w:line="360" w:lineRule="auto"/>
              <w:jc w:val="center"/>
              <w:rPr>
                <w:rFonts w:hAnsi="宋体" w:cs="MingLiU_HKSCS"/>
              </w:rPr>
            </w:pPr>
          </w:p>
        </w:tc>
      </w:tr>
    </w:tbl>
    <w:p>
      <w:pPr>
        <w:pStyle w:val="25"/>
      </w:pPr>
    </w:p>
    <w:p>
      <w:pPr>
        <w:pStyle w:val="25"/>
        <w:spacing w:line="300" w:lineRule="auto"/>
        <w:rPr>
          <w:rFonts w:hAnsi="宋体"/>
        </w:rPr>
      </w:pPr>
    </w:p>
    <w:p>
      <w:pPr>
        <w:pStyle w:val="25"/>
        <w:spacing w:line="300" w:lineRule="auto"/>
        <w:rPr>
          <w:rFonts w:hAnsi="宋体"/>
        </w:rPr>
      </w:pPr>
    </w:p>
    <w:p>
      <w:pPr>
        <w:pStyle w:val="25"/>
        <w:spacing w:line="300" w:lineRule="auto"/>
        <w:rPr>
          <w:rFonts w:hAnsi="宋体"/>
        </w:rPr>
      </w:pPr>
    </w:p>
    <w:p>
      <w:pPr>
        <w:pStyle w:val="25"/>
        <w:spacing w:line="400" w:lineRule="exact"/>
        <w:rPr>
          <w:rFonts w:hint="eastAsia" w:hAnsi="宋体"/>
        </w:rPr>
      </w:pPr>
    </w:p>
    <w:p>
      <w:pPr>
        <w:pStyle w:val="25"/>
        <w:spacing w:line="400" w:lineRule="exact"/>
        <w:rPr>
          <w:rFonts w:hint="eastAsia" w:hAnsi="宋体"/>
        </w:rPr>
      </w:pPr>
      <w:r>
        <w:rPr>
          <w:rFonts w:hint="eastAsia" w:hAnsi="宋体"/>
        </w:rPr>
        <w:t>法定代表人或被授权人（签字）:</w:t>
      </w:r>
    </w:p>
    <w:p>
      <w:pPr>
        <w:pStyle w:val="25"/>
        <w:spacing w:line="400" w:lineRule="exact"/>
        <w:rPr>
          <w:rFonts w:hint="eastAsia" w:hAnsi="宋体"/>
        </w:rPr>
      </w:pPr>
    </w:p>
    <w:p>
      <w:pPr>
        <w:pStyle w:val="25"/>
        <w:spacing w:line="400" w:lineRule="exact"/>
        <w:rPr>
          <w:rFonts w:hint="eastAsia" w:hAnsi="宋体"/>
        </w:rPr>
      </w:pPr>
      <w:r>
        <w:rPr>
          <w:rFonts w:hint="eastAsia" w:hAnsi="宋体"/>
        </w:rPr>
        <w:t>供应商名称（公章）：</w:t>
      </w:r>
    </w:p>
    <w:p>
      <w:pPr>
        <w:pStyle w:val="25"/>
        <w:spacing w:line="400" w:lineRule="exact"/>
        <w:rPr>
          <w:rFonts w:hint="eastAsia" w:hAnsi="宋体"/>
        </w:rPr>
      </w:pPr>
    </w:p>
    <w:p>
      <w:pPr>
        <w:pStyle w:val="25"/>
        <w:spacing w:line="400" w:lineRule="exact"/>
        <w:rPr>
          <w:rFonts w:hint="eastAsia" w:hAnsi="宋体"/>
        </w:rPr>
      </w:pPr>
      <w:r>
        <w:rPr>
          <w:rFonts w:hint="eastAsia" w:hAnsi="宋体"/>
        </w:rPr>
        <w:t>日</w:t>
      </w:r>
      <w:r>
        <w:rPr>
          <w:rFonts w:hint="eastAsia" w:hAnsi="宋体"/>
          <w:lang w:val="en-US" w:eastAsia="zh-CN"/>
        </w:rPr>
        <w:t xml:space="preserve"> </w:t>
      </w:r>
      <w:r>
        <w:rPr>
          <w:rFonts w:hint="eastAsia" w:hAnsi="宋体"/>
        </w:rPr>
        <w:t>期：</w:t>
      </w:r>
      <w:r>
        <w:rPr>
          <w:rFonts w:hint="eastAsia" w:hAnsi="宋体"/>
          <w:lang w:val="en-US" w:eastAsia="zh-CN"/>
        </w:rPr>
        <w:t xml:space="preserve">    </w:t>
      </w:r>
      <w:r>
        <w:rPr>
          <w:rFonts w:hint="eastAsia" w:hAnsi="宋体"/>
        </w:rPr>
        <w:t>年</w:t>
      </w:r>
      <w:r>
        <w:rPr>
          <w:rFonts w:hint="eastAsia" w:hAnsi="宋体"/>
          <w:lang w:val="en-US" w:eastAsia="zh-CN"/>
        </w:rPr>
        <w:t xml:space="preserve">   </w:t>
      </w:r>
      <w:r>
        <w:rPr>
          <w:rFonts w:hint="eastAsia" w:hAnsi="宋体"/>
        </w:rPr>
        <w:t>月</w:t>
      </w:r>
      <w:r>
        <w:rPr>
          <w:rFonts w:hint="eastAsia" w:hAnsi="宋体"/>
          <w:lang w:val="en-US" w:eastAsia="zh-CN"/>
        </w:rPr>
        <w:t xml:space="preserve">   </w:t>
      </w:r>
      <w:r>
        <w:rPr>
          <w:rFonts w:hint="eastAsia" w:hAnsi="宋体"/>
        </w:rPr>
        <w:t xml:space="preserve">日 </w:t>
      </w:r>
    </w:p>
    <w:p>
      <w:pPr>
        <w:spacing w:line="300" w:lineRule="auto"/>
        <w:jc w:val="center"/>
        <w:rPr>
          <w:rFonts w:ascii="宋体" w:hAnsi="宋体"/>
          <w:szCs w:val="21"/>
          <w:u w:val="single"/>
        </w:rPr>
      </w:pPr>
      <w:r>
        <w:rPr>
          <w:rFonts w:ascii="宋体" w:hAnsi="宋体"/>
          <w:szCs w:val="21"/>
        </w:rPr>
        <w:br w:type="page"/>
      </w:r>
      <w:bookmarkStart w:id="58" w:name="_Toc14397_WPSOffice_Level2"/>
      <w:r>
        <w:rPr>
          <w:rFonts w:ascii="宋体" w:hAnsi="宋体"/>
          <w:b/>
          <w:sz w:val="32"/>
          <w:szCs w:val="32"/>
        </w:rPr>
        <w:t>服务承诺</w:t>
      </w:r>
      <w:bookmarkEnd w:id="58"/>
    </w:p>
    <w:p>
      <w:pPr>
        <w:spacing w:line="300" w:lineRule="auto"/>
        <w:jc w:val="center"/>
        <w:rPr>
          <w:rFonts w:ascii="宋体" w:hAnsi="宋体"/>
          <w:b/>
          <w:szCs w:val="21"/>
        </w:rPr>
      </w:pPr>
      <w:r>
        <w:rPr>
          <w:rFonts w:hint="eastAsia" w:ascii="宋体" w:hAnsi="宋体"/>
          <w:szCs w:val="21"/>
        </w:rPr>
        <w:t>（请结合第三章“项目需求”中的服务内容要求及承诺内容要求自行编写）</w:t>
      </w:r>
    </w:p>
    <w:p>
      <w:pPr>
        <w:spacing w:line="300" w:lineRule="auto"/>
        <w:rPr>
          <w:rFonts w:ascii="宋体" w:hAnsi="宋体"/>
          <w:b/>
          <w:szCs w:val="21"/>
        </w:rPr>
      </w:pPr>
      <w:r>
        <w:rPr>
          <w:rFonts w:ascii="宋体" w:hAnsi="宋体"/>
          <w:b/>
          <w:szCs w:val="21"/>
        </w:rPr>
        <w:br w:type="page"/>
      </w:r>
    </w:p>
    <w:p>
      <w:pPr>
        <w:spacing w:line="300" w:lineRule="auto"/>
        <w:rPr>
          <w:rFonts w:hint="eastAsia" w:ascii="宋体" w:hAnsi="宋体" w:eastAsia="宋体"/>
          <w:b/>
          <w:szCs w:val="21"/>
          <w:lang w:eastAsia="zh-CN"/>
        </w:rPr>
      </w:pPr>
      <w:r>
        <w:rPr>
          <w:rFonts w:hint="eastAsia" w:ascii="宋体" w:hAnsi="宋体"/>
          <w:b/>
          <w:szCs w:val="21"/>
        </w:rPr>
        <w:t>附件</w:t>
      </w:r>
      <w:r>
        <w:rPr>
          <w:rFonts w:hint="eastAsia" w:ascii="宋体" w:hAnsi="宋体"/>
          <w:b/>
          <w:szCs w:val="21"/>
          <w:lang w:eastAsia="zh-CN"/>
        </w:rPr>
        <w:t>六</w:t>
      </w:r>
      <w:bookmarkStart w:id="89" w:name="_GoBack"/>
      <w:bookmarkEnd w:id="89"/>
    </w:p>
    <w:p>
      <w:pPr>
        <w:pStyle w:val="25"/>
        <w:spacing w:line="440" w:lineRule="exact"/>
        <w:jc w:val="center"/>
        <w:rPr>
          <w:b/>
          <w:sz w:val="32"/>
          <w:szCs w:val="32"/>
        </w:rPr>
      </w:pPr>
      <w:bookmarkStart w:id="59" w:name="_Toc15131_WPSOffice_Level2"/>
      <w:r>
        <w:rPr>
          <w:rFonts w:hint="eastAsia"/>
          <w:b/>
          <w:sz w:val="32"/>
          <w:szCs w:val="32"/>
        </w:rPr>
        <w:t>法定代表人身份证明书</w:t>
      </w:r>
      <w:bookmarkEnd w:id="59"/>
    </w:p>
    <w:p>
      <w:pPr>
        <w:pStyle w:val="25"/>
        <w:spacing w:line="460" w:lineRule="exact"/>
        <w:ind w:firstLine="542" w:firstLineChars="257"/>
        <w:jc w:val="center"/>
        <w:rPr>
          <w:b/>
        </w:rPr>
      </w:pPr>
    </w:p>
    <w:p>
      <w:pPr>
        <w:spacing w:line="500" w:lineRule="exact"/>
        <w:rPr>
          <w:rFonts w:ascii="宋体" w:hAnsi="宋体"/>
          <w:szCs w:val="21"/>
        </w:rPr>
      </w:pPr>
      <w:r>
        <w:rPr>
          <w:rFonts w:hint="eastAsia" w:ascii="宋体" w:hAnsi="宋体"/>
          <w:szCs w:val="21"/>
        </w:rPr>
        <w:t>供应商：</w:t>
      </w:r>
    </w:p>
    <w:p>
      <w:pPr>
        <w:spacing w:line="500" w:lineRule="exact"/>
        <w:rPr>
          <w:rFonts w:ascii="宋体" w:hAnsi="宋体"/>
          <w:szCs w:val="21"/>
        </w:rPr>
      </w:pPr>
      <w:r>
        <w:rPr>
          <w:rFonts w:hint="eastAsia" w:ascii="宋体" w:hAnsi="宋体"/>
          <w:szCs w:val="21"/>
        </w:rPr>
        <w:t>单位性质：</w:t>
      </w:r>
    </w:p>
    <w:p>
      <w:pPr>
        <w:spacing w:line="500" w:lineRule="exact"/>
        <w:rPr>
          <w:rFonts w:ascii="宋体" w:hAnsi="宋体"/>
          <w:szCs w:val="21"/>
        </w:rPr>
      </w:pPr>
      <w:r>
        <w:rPr>
          <w:rFonts w:hint="eastAsia" w:ascii="宋体" w:hAnsi="宋体"/>
          <w:szCs w:val="21"/>
        </w:rPr>
        <w:t>地    址：</w:t>
      </w:r>
    </w:p>
    <w:p>
      <w:pPr>
        <w:spacing w:line="500" w:lineRule="exact"/>
        <w:rPr>
          <w:rFonts w:ascii="宋体" w:hAnsi="宋体"/>
          <w:szCs w:val="21"/>
        </w:rPr>
      </w:pPr>
      <w:r>
        <w:rPr>
          <w:rFonts w:hint="eastAsia" w:ascii="宋体" w:hAnsi="宋体"/>
          <w:szCs w:val="21"/>
        </w:rPr>
        <w:t>成立时间：</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p>
    <w:p>
      <w:pPr>
        <w:spacing w:line="500" w:lineRule="exact"/>
        <w:rPr>
          <w:rFonts w:ascii="宋体" w:hAnsi="宋体"/>
          <w:szCs w:val="21"/>
        </w:rPr>
      </w:pPr>
      <w:r>
        <w:rPr>
          <w:rFonts w:hint="eastAsia" w:ascii="宋体" w:hAnsi="宋体"/>
          <w:szCs w:val="21"/>
        </w:rPr>
        <w:t>姓    名：性      别：</w:t>
      </w:r>
    </w:p>
    <w:p>
      <w:pPr>
        <w:spacing w:line="500" w:lineRule="exact"/>
        <w:rPr>
          <w:rFonts w:ascii="宋体" w:hAnsi="宋体"/>
          <w:szCs w:val="21"/>
          <w:u w:val="single"/>
        </w:rPr>
      </w:pPr>
      <w:r>
        <w:rPr>
          <w:rFonts w:hint="eastAsia" w:ascii="宋体" w:hAnsi="宋体"/>
          <w:szCs w:val="21"/>
        </w:rPr>
        <w:t>年    龄：职      务：</w:t>
      </w:r>
    </w:p>
    <w:p>
      <w:pPr>
        <w:spacing w:line="500" w:lineRule="exact"/>
        <w:rPr>
          <w:rFonts w:ascii="宋体" w:hAnsi="宋体"/>
          <w:szCs w:val="21"/>
        </w:rPr>
      </w:pPr>
      <w:r>
        <w:rPr>
          <w:rFonts w:hint="eastAsia" w:ascii="宋体" w:hAnsi="宋体"/>
          <w:szCs w:val="21"/>
        </w:rPr>
        <w:t>身份证</w:t>
      </w:r>
      <w:r>
        <w:rPr>
          <w:rFonts w:hint="eastAsia"/>
          <w:szCs w:val="21"/>
        </w:rPr>
        <w:t>号码：</w:t>
      </w:r>
    </w:p>
    <w:p>
      <w:pPr>
        <w:spacing w:line="500" w:lineRule="exact"/>
        <w:rPr>
          <w:rFonts w:ascii="宋体" w:hAnsi="宋体"/>
          <w:szCs w:val="21"/>
        </w:rPr>
      </w:pPr>
      <w:r>
        <w:rPr>
          <w:rFonts w:hint="eastAsia" w:ascii="宋体" w:hAnsi="宋体"/>
          <w:szCs w:val="21"/>
        </w:rPr>
        <w:t>系（供应商名称）的法定代表人。</w:t>
      </w:r>
    </w:p>
    <w:p>
      <w:pPr>
        <w:pStyle w:val="25"/>
        <w:spacing w:line="460" w:lineRule="exact"/>
        <w:ind w:firstLine="539" w:firstLineChars="257"/>
        <w:rPr>
          <w:rFonts w:hAnsi="宋体"/>
        </w:rPr>
      </w:pPr>
      <w:r>
        <w:rPr>
          <w:rFonts w:hint="eastAsia" w:hAnsi="宋体"/>
        </w:rPr>
        <w:t>特此证明。</w:t>
      </w:r>
    </w:p>
    <w:p>
      <w:pPr>
        <w:spacing w:line="500" w:lineRule="exact"/>
        <w:ind w:left="540"/>
        <w:rPr>
          <w:rFonts w:ascii="宋体" w:hAnsi="宋体"/>
          <w:color w:val="FF0000"/>
          <w:szCs w:val="21"/>
        </w:rPr>
      </w:pPr>
      <w:r>
        <w:rPr>
          <w:rFonts w:hint="eastAsia"/>
        </w:rPr>
        <w:t>附：法定代表人有效的身份证正反面复印件</w:t>
      </w:r>
    </w:p>
    <w:p>
      <w:pPr>
        <w:pStyle w:val="25"/>
        <w:spacing w:line="360" w:lineRule="auto"/>
        <w:rPr>
          <w:rFonts w:hAnsi="宋体" w:cs="MingLiU_HKSCS"/>
          <w:color w:val="FF0000"/>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389" w:type="dxa"/>
            <w:vAlign w:val="center"/>
          </w:tcPr>
          <w:p>
            <w:pPr>
              <w:pStyle w:val="25"/>
              <w:spacing w:line="360" w:lineRule="auto"/>
              <w:jc w:val="center"/>
              <w:rPr>
                <w:rFonts w:hAnsi="宋体" w:cs="MingLiU_HKSCS"/>
                <w:color w:val="FF0000"/>
              </w:rPr>
            </w:pPr>
          </w:p>
          <w:p>
            <w:pPr>
              <w:pStyle w:val="25"/>
              <w:spacing w:line="360" w:lineRule="auto"/>
              <w:jc w:val="center"/>
              <w:rPr>
                <w:rFonts w:hAnsi="宋体" w:cs="MingLiU_HKSCS"/>
              </w:rPr>
            </w:pPr>
            <w:r>
              <w:rPr>
                <w:rFonts w:hint="eastAsia" w:hAnsi="宋体" w:cs="MingLiU_HKSCS"/>
              </w:rPr>
              <w:t>法定代表人身份证正反面复印件</w:t>
            </w:r>
          </w:p>
          <w:p>
            <w:pPr>
              <w:pStyle w:val="25"/>
              <w:spacing w:line="360" w:lineRule="auto"/>
              <w:jc w:val="center"/>
              <w:rPr>
                <w:rFonts w:hAnsi="宋体" w:cs="MingLiU_HKSCS"/>
                <w:color w:val="FF0000"/>
              </w:rPr>
            </w:pPr>
          </w:p>
        </w:tc>
      </w:tr>
    </w:tbl>
    <w:p>
      <w:pPr>
        <w:pStyle w:val="25"/>
        <w:wordWrap w:val="0"/>
        <w:spacing w:line="460" w:lineRule="exact"/>
        <w:ind w:firstLine="539" w:firstLineChars="257"/>
        <w:jc w:val="right"/>
      </w:pPr>
    </w:p>
    <w:p>
      <w:pPr>
        <w:pStyle w:val="25"/>
        <w:spacing w:line="460" w:lineRule="exact"/>
        <w:ind w:firstLine="4004" w:firstLineChars="1907"/>
        <w:jc w:val="left"/>
      </w:pPr>
      <w:r>
        <w:rPr>
          <w:rFonts w:hint="eastAsia"/>
        </w:rPr>
        <w:t>供应商：（盖单位公章）</w:t>
      </w:r>
    </w:p>
    <w:p>
      <w:pPr>
        <w:pStyle w:val="25"/>
        <w:spacing w:line="460" w:lineRule="exact"/>
        <w:ind w:firstLine="539" w:firstLineChars="257"/>
      </w:pPr>
    </w:p>
    <w:p>
      <w:pPr>
        <w:pStyle w:val="25"/>
        <w:spacing w:line="460" w:lineRule="exact"/>
        <w:ind w:firstLine="525" w:firstLineChars="250"/>
        <w:jc w:val="right"/>
      </w:pPr>
      <w:r>
        <w:rPr>
          <w:rFonts w:hint="eastAsia"/>
        </w:rPr>
        <w:t>日期：   年    月    日</w:t>
      </w:r>
    </w:p>
    <w:p>
      <w:pPr>
        <w:pStyle w:val="25"/>
        <w:spacing w:line="460" w:lineRule="exact"/>
      </w:pPr>
    </w:p>
    <w:p>
      <w:pPr>
        <w:pStyle w:val="25"/>
        <w:spacing w:line="460" w:lineRule="exact"/>
      </w:pPr>
    </w:p>
    <w:p>
      <w:pPr>
        <w:spacing w:line="300" w:lineRule="auto"/>
        <w:rPr>
          <w:rFonts w:ascii="宋体" w:hAnsi="宋体"/>
          <w:b/>
          <w:szCs w:val="21"/>
        </w:rPr>
      </w:pPr>
      <w:r>
        <w:rPr>
          <w:rFonts w:hint="eastAsia"/>
          <w:szCs w:val="21"/>
        </w:rPr>
        <w:t>附注：如法定代表人亲自参加开标会议的，须提供法定代表人身份证明书、法人代表身份证。</w:t>
      </w:r>
    </w:p>
    <w:p>
      <w:pPr>
        <w:spacing w:line="300" w:lineRule="auto"/>
        <w:rPr>
          <w:rFonts w:ascii="宋体" w:hAnsi="宋体"/>
          <w:b/>
          <w:szCs w:val="21"/>
        </w:rPr>
      </w:pPr>
      <w:r>
        <w:rPr>
          <w:rFonts w:ascii="宋体" w:hAnsi="宋体"/>
          <w:b/>
          <w:szCs w:val="21"/>
        </w:rPr>
        <w:br w:type="page"/>
      </w:r>
    </w:p>
    <w:p>
      <w:pPr>
        <w:adjustRightInd w:val="0"/>
        <w:snapToGrid w:val="0"/>
        <w:spacing w:line="300" w:lineRule="auto"/>
        <w:jc w:val="center"/>
        <w:rPr>
          <w:rFonts w:ascii="宋体" w:hAnsi="宋体"/>
          <w:b/>
          <w:sz w:val="32"/>
          <w:szCs w:val="32"/>
        </w:rPr>
      </w:pPr>
      <w:bookmarkStart w:id="60" w:name="_Toc17879_WPSOffice_Level2"/>
      <w:r>
        <w:rPr>
          <w:rFonts w:hint="eastAsia" w:ascii="宋体" w:hAnsi="宋体"/>
          <w:b/>
          <w:sz w:val="32"/>
          <w:szCs w:val="32"/>
        </w:rPr>
        <w:t>法定代表人授权书</w:t>
      </w:r>
      <w:bookmarkEnd w:id="60"/>
    </w:p>
    <w:p>
      <w:pPr>
        <w:adjustRightInd w:val="0"/>
        <w:snapToGrid w:val="0"/>
        <w:spacing w:line="300" w:lineRule="auto"/>
        <w:rPr>
          <w:rFonts w:ascii="宋体" w:hAnsi="宋体"/>
          <w:szCs w:val="21"/>
        </w:rPr>
      </w:pPr>
    </w:p>
    <w:p>
      <w:pPr>
        <w:snapToGrid w:val="0"/>
        <w:spacing w:beforeLines="50" w:after="50" w:line="360" w:lineRule="auto"/>
        <w:ind w:firstLine="420" w:firstLineChars="200"/>
        <w:jc w:val="left"/>
        <w:rPr>
          <w:rFonts w:ascii="宋体" w:hAnsi="宋体"/>
          <w:szCs w:val="21"/>
        </w:rPr>
      </w:pPr>
      <w:r>
        <w:rPr>
          <w:rFonts w:hint="eastAsia" w:ascii="宋体" w:hAnsi="宋体"/>
          <w:szCs w:val="21"/>
        </w:rPr>
        <w:t>________(供应商名称)的法定代表人________(姓名、职务)授权________(供应商代表姓名、职务)为本公司的投标人代表，就</w:t>
      </w:r>
      <w:r>
        <w:rPr>
          <w:rFonts w:hint="eastAsia" w:ascii="宋体" w:hAnsi="宋体"/>
          <w:szCs w:val="21"/>
          <w:u w:val="single"/>
        </w:rPr>
        <w:t>___  ___</w:t>
      </w:r>
      <w:r>
        <w:rPr>
          <w:rFonts w:hint="eastAsia" w:ascii="宋体" w:hAnsi="宋体"/>
          <w:szCs w:val="21"/>
        </w:rPr>
        <w:t>(项目名称及编号)投标及相关事务代表本公司处理与之有关的一切事务。</w:t>
      </w:r>
    </w:p>
    <w:p>
      <w:pPr>
        <w:snapToGrid w:val="0"/>
        <w:spacing w:beforeLines="50" w:after="50" w:line="360" w:lineRule="auto"/>
        <w:jc w:val="left"/>
        <w:rPr>
          <w:rFonts w:ascii="宋体" w:hAnsi="宋体"/>
          <w:szCs w:val="21"/>
        </w:rPr>
      </w:pPr>
    </w:p>
    <w:p>
      <w:pPr>
        <w:snapToGrid w:val="0"/>
        <w:spacing w:beforeLines="50" w:after="50" w:line="360" w:lineRule="auto"/>
        <w:jc w:val="left"/>
        <w:rPr>
          <w:rFonts w:ascii="宋体" w:hAnsi="宋体"/>
          <w:szCs w:val="21"/>
        </w:rPr>
      </w:pPr>
      <w:r>
        <w:rPr>
          <w:rFonts w:hint="eastAsia" w:ascii="宋体" w:hAnsi="宋体"/>
          <w:szCs w:val="21"/>
        </w:rPr>
        <w:t>委托期限：____________________。</w:t>
      </w:r>
    </w:p>
    <w:p>
      <w:pPr>
        <w:snapToGrid w:val="0"/>
        <w:spacing w:beforeLines="50" w:after="50" w:line="360" w:lineRule="auto"/>
        <w:jc w:val="left"/>
        <w:rPr>
          <w:rFonts w:ascii="宋体" w:hAnsi="宋体"/>
          <w:szCs w:val="21"/>
        </w:rPr>
      </w:pPr>
      <w:r>
        <w:rPr>
          <w:rFonts w:hint="eastAsia" w:ascii="宋体" w:hAnsi="宋体"/>
          <w:szCs w:val="21"/>
        </w:rPr>
        <w:t>代理人无转委托权。</w:t>
      </w:r>
    </w:p>
    <w:p>
      <w:pPr>
        <w:snapToGrid w:val="0"/>
        <w:spacing w:beforeLines="50" w:after="50" w:line="360" w:lineRule="auto"/>
        <w:jc w:val="left"/>
        <w:rPr>
          <w:rFonts w:ascii="宋体" w:hAnsi="宋体"/>
          <w:szCs w:val="21"/>
        </w:rPr>
      </w:pPr>
      <w:r>
        <w:rPr>
          <w:rFonts w:hint="eastAsia" w:ascii="宋体" w:hAnsi="宋体"/>
          <w:szCs w:val="21"/>
        </w:rPr>
        <w:t>本授权书于______年____月____日签字生效，特此声明。</w:t>
      </w:r>
    </w:p>
    <w:p>
      <w:pPr>
        <w:pStyle w:val="25"/>
        <w:spacing w:line="360" w:lineRule="auto"/>
        <w:rPr>
          <w:rFonts w:hAnsi="宋体" w:cs="MingLiU_HKSCS"/>
        </w:rPr>
      </w:pPr>
    </w:p>
    <w:p>
      <w:pPr>
        <w:pStyle w:val="25"/>
        <w:spacing w:line="360" w:lineRule="auto"/>
        <w:rPr>
          <w:rFonts w:hAnsi="宋体" w:cs="MingLiU_HKSCS"/>
        </w:rPr>
      </w:pPr>
      <w:r>
        <w:rPr>
          <w:rFonts w:hint="eastAsia" w:hAnsi="宋体" w:cs="MingLiU_HKSCS"/>
        </w:rPr>
        <w:t>附：法定代表人身份证及被授权人有效身份证正反面复印件</w:t>
      </w: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389" w:type="dxa"/>
            <w:vAlign w:val="center"/>
          </w:tcPr>
          <w:p>
            <w:pPr>
              <w:pStyle w:val="25"/>
              <w:spacing w:line="360" w:lineRule="auto"/>
              <w:jc w:val="center"/>
              <w:rPr>
                <w:rFonts w:hAnsi="宋体" w:cs="MingLiU_HKSCS"/>
              </w:rPr>
            </w:pPr>
          </w:p>
          <w:p>
            <w:pPr>
              <w:pStyle w:val="25"/>
              <w:spacing w:line="360" w:lineRule="auto"/>
              <w:jc w:val="center"/>
              <w:rPr>
                <w:rFonts w:hAnsi="宋体" w:cs="MingLiU_HKSCS"/>
              </w:rPr>
            </w:pPr>
            <w:r>
              <w:rPr>
                <w:rFonts w:hint="eastAsia" w:hAnsi="宋体" w:cs="MingLiU_HKSCS"/>
              </w:rPr>
              <w:t>法定代表人身份证正反面复印件</w:t>
            </w:r>
          </w:p>
          <w:p>
            <w:pPr>
              <w:pStyle w:val="25"/>
              <w:spacing w:line="360" w:lineRule="auto"/>
              <w:jc w:val="center"/>
              <w:rPr>
                <w:rFonts w:hAnsi="宋体" w:cs="MingLiU_HKSCS"/>
              </w:rPr>
            </w:pPr>
          </w:p>
        </w:tc>
      </w:tr>
    </w:tbl>
    <w:p>
      <w:pPr>
        <w:pStyle w:val="25"/>
        <w:spacing w:line="360" w:lineRule="auto"/>
        <w:ind w:firstLine="420" w:firstLineChars="200"/>
        <w:rPr>
          <w:rFonts w:hAnsi="宋体" w:cs="MingLiU_HKSCS"/>
        </w:rPr>
      </w:pPr>
    </w:p>
    <w:p>
      <w:pPr>
        <w:pStyle w:val="25"/>
        <w:spacing w:line="360" w:lineRule="auto"/>
        <w:rPr>
          <w:rFonts w:hAnsi="宋体" w:cs="MingLiU_HKSCS"/>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389" w:type="dxa"/>
            <w:vAlign w:val="center"/>
          </w:tcPr>
          <w:p>
            <w:pPr>
              <w:pStyle w:val="25"/>
              <w:spacing w:line="360" w:lineRule="auto"/>
              <w:jc w:val="center"/>
              <w:rPr>
                <w:rFonts w:hAnsi="宋体" w:cs="MingLiU_HKSCS"/>
              </w:rPr>
            </w:pPr>
          </w:p>
          <w:p>
            <w:pPr>
              <w:pStyle w:val="25"/>
              <w:spacing w:line="360" w:lineRule="auto"/>
              <w:jc w:val="center"/>
              <w:rPr>
                <w:rFonts w:hAnsi="宋体" w:cs="MingLiU_HKSCS"/>
              </w:rPr>
            </w:pPr>
            <w:r>
              <w:rPr>
                <w:rFonts w:hint="eastAsia" w:hAnsi="宋体" w:cs="Times New Roman"/>
              </w:rPr>
              <w:t>被</w:t>
            </w:r>
            <w:r>
              <w:rPr>
                <w:rFonts w:hint="eastAsia" w:hAnsi="宋体" w:cs="MingLiU_HKSCS"/>
              </w:rPr>
              <w:t>授权代表身份证正反面复印件</w:t>
            </w:r>
          </w:p>
          <w:p>
            <w:pPr>
              <w:pStyle w:val="25"/>
              <w:spacing w:line="360" w:lineRule="auto"/>
              <w:jc w:val="center"/>
              <w:rPr>
                <w:rFonts w:hAnsi="宋体" w:cs="MingLiU_HKSCS"/>
              </w:rPr>
            </w:pPr>
          </w:p>
        </w:tc>
      </w:tr>
    </w:tbl>
    <w:p>
      <w:pPr>
        <w:snapToGrid w:val="0"/>
        <w:spacing w:beforeLines="50" w:after="50"/>
        <w:rPr>
          <w:rFonts w:ascii="宋体" w:hAnsi="宋体"/>
          <w:szCs w:val="21"/>
        </w:rPr>
      </w:pPr>
    </w:p>
    <w:p>
      <w:pPr>
        <w:snapToGrid w:val="0"/>
        <w:spacing w:beforeLines="50" w:after="50"/>
        <w:rPr>
          <w:rFonts w:ascii="宋体" w:hAnsi="宋体"/>
          <w:szCs w:val="21"/>
          <w:u w:val="single"/>
        </w:rPr>
      </w:pPr>
      <w:r>
        <w:rPr>
          <w:rFonts w:hint="eastAsia" w:ascii="宋体" w:hAnsi="宋体"/>
          <w:szCs w:val="21"/>
        </w:rPr>
        <w:t>被授权人签字：            法定代表人签字：</w:t>
      </w:r>
    </w:p>
    <w:p>
      <w:pPr>
        <w:snapToGrid w:val="0"/>
        <w:spacing w:beforeLines="50" w:after="50"/>
        <w:rPr>
          <w:rFonts w:ascii="宋体" w:hAnsi="宋体"/>
          <w:szCs w:val="21"/>
        </w:rPr>
      </w:pPr>
      <w:r>
        <w:rPr>
          <w:rFonts w:hint="eastAsia" w:ascii="宋体" w:hAnsi="宋体"/>
          <w:szCs w:val="21"/>
        </w:rPr>
        <w:t>所在部门职务：                      职务：</w:t>
      </w:r>
    </w:p>
    <w:p>
      <w:pPr>
        <w:snapToGrid w:val="0"/>
        <w:spacing w:beforeLines="50" w:after="50"/>
        <w:rPr>
          <w:rFonts w:ascii="宋体" w:hAnsi="宋体"/>
          <w:szCs w:val="21"/>
        </w:rPr>
      </w:pPr>
      <w:r>
        <w:rPr>
          <w:rFonts w:hint="eastAsia" w:ascii="宋体" w:hAnsi="宋体"/>
          <w:szCs w:val="21"/>
        </w:rPr>
        <w:t>被授权人身份证号码：</w:t>
      </w:r>
    </w:p>
    <w:p>
      <w:pPr>
        <w:snapToGrid w:val="0"/>
        <w:spacing w:beforeLines="50" w:after="50"/>
        <w:jc w:val="center"/>
        <w:rPr>
          <w:rFonts w:ascii="宋体" w:hAnsi="宋体"/>
          <w:szCs w:val="21"/>
        </w:rPr>
      </w:pPr>
      <w:r>
        <w:rPr>
          <w:rFonts w:hint="eastAsia" w:ascii="宋体" w:hAnsi="宋体"/>
          <w:szCs w:val="21"/>
        </w:rPr>
        <w:t xml:space="preserve">                                                供应商公章：</w:t>
      </w:r>
    </w:p>
    <w:p>
      <w:pPr>
        <w:pStyle w:val="25"/>
        <w:spacing w:line="460" w:lineRule="exact"/>
        <w:ind w:firstLine="525" w:firstLineChars="250"/>
        <w:jc w:val="right"/>
      </w:pPr>
      <w:r>
        <w:rPr>
          <w:rFonts w:hint="eastAsia"/>
        </w:rPr>
        <w:t>日期：   年    月    日</w:t>
      </w: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pStyle w:val="3"/>
        <w:jc w:val="center"/>
        <w:rPr>
          <w:rFonts w:hint="eastAsia"/>
          <w:b/>
          <w:sz w:val="36"/>
          <w:szCs w:val="36"/>
        </w:rPr>
      </w:pPr>
      <w:bookmarkStart w:id="61" w:name="_Toc777"/>
      <w:bookmarkStart w:id="62" w:name="_Toc18660_WPSOffice_Level1"/>
      <w:r>
        <w:rPr>
          <w:rFonts w:hint="eastAsia"/>
        </w:rPr>
        <w:t>第</w:t>
      </w:r>
      <w:r>
        <w:rPr>
          <w:rFonts w:hint="eastAsia"/>
          <w:lang w:val="en-US" w:eastAsia="zh-CN"/>
        </w:rPr>
        <w:t>六</w:t>
      </w:r>
      <w:r>
        <w:rPr>
          <w:rFonts w:hint="eastAsia"/>
        </w:rPr>
        <w:t>章</w:t>
      </w:r>
      <w:r>
        <w:rPr>
          <w:rFonts w:hint="eastAsia"/>
          <w:lang w:val="en-US" w:eastAsia="zh-CN"/>
        </w:rPr>
        <w:t>合同主要条款</w:t>
      </w:r>
      <w:bookmarkEnd w:id="61"/>
      <w:bookmarkEnd w:id="62"/>
    </w:p>
    <w:p>
      <w:pPr>
        <w:spacing w:line="360" w:lineRule="auto"/>
        <w:jc w:val="center"/>
        <w:rPr>
          <w:rFonts w:ascii="宋体" w:hAnsi="宋体"/>
          <w:b/>
          <w:bCs/>
          <w:sz w:val="36"/>
          <w:szCs w:val="36"/>
        </w:rPr>
      </w:pPr>
      <w:bookmarkStart w:id="63" w:name="_Toc9306_WPSOffice_Level1"/>
      <w:r>
        <w:rPr>
          <w:rFonts w:hint="eastAsia"/>
          <w:b/>
          <w:sz w:val="36"/>
          <w:szCs w:val="36"/>
        </w:rPr>
        <w:t>采购合同书</w:t>
      </w:r>
      <w:bookmarkEnd w:id="63"/>
    </w:p>
    <w:p>
      <w:pPr>
        <w:pStyle w:val="25"/>
        <w:spacing w:line="360" w:lineRule="auto"/>
        <w:rPr>
          <w:rFonts w:hAnsi="宋体"/>
        </w:rPr>
      </w:pPr>
    </w:p>
    <w:p>
      <w:pPr>
        <w:pStyle w:val="25"/>
        <w:spacing w:line="360" w:lineRule="auto"/>
        <w:rPr>
          <w:rFonts w:hint="eastAsia" w:hAnsi="宋体"/>
          <w:szCs w:val="21"/>
        </w:rPr>
      </w:pPr>
      <w:r>
        <w:rPr>
          <w:rFonts w:hint="eastAsia" w:hAnsi="宋体"/>
          <w:szCs w:val="21"/>
        </w:rPr>
        <w:t>合同名称：</w:t>
      </w:r>
      <w:r>
        <w:rPr>
          <w:rFonts w:hint="eastAsia" w:hAnsi="宋体"/>
          <w:szCs w:val="21"/>
          <w:u w:val="single"/>
        </w:rPr>
        <w:t xml:space="preserve">                                         </w:t>
      </w:r>
      <w:r>
        <w:rPr>
          <w:rFonts w:hint="eastAsia" w:hAnsi="宋体"/>
          <w:szCs w:val="21"/>
        </w:rPr>
        <w:t xml:space="preserve">                          </w:t>
      </w:r>
    </w:p>
    <w:p>
      <w:pPr>
        <w:pStyle w:val="25"/>
        <w:spacing w:line="360" w:lineRule="auto"/>
        <w:rPr>
          <w:rFonts w:hint="eastAsia" w:hAnsi="宋体"/>
          <w:szCs w:val="21"/>
        </w:rPr>
      </w:pPr>
      <w:r>
        <w:rPr>
          <w:rFonts w:hint="eastAsia" w:hAnsi="宋体"/>
          <w:szCs w:val="21"/>
        </w:rPr>
        <w:t>合同编号：</w:t>
      </w:r>
      <w:r>
        <w:rPr>
          <w:rFonts w:hint="eastAsia" w:hAnsi="宋体"/>
          <w:szCs w:val="21"/>
          <w:u w:val="single"/>
        </w:rPr>
        <w:t xml:space="preserve">                                        </w:t>
      </w:r>
      <w:r>
        <w:rPr>
          <w:rFonts w:hint="eastAsia" w:hAnsi="宋体"/>
          <w:szCs w:val="21"/>
        </w:rPr>
        <w:t xml:space="preserve">                              </w:t>
      </w:r>
    </w:p>
    <w:p>
      <w:pPr>
        <w:pStyle w:val="25"/>
        <w:spacing w:line="360" w:lineRule="auto"/>
        <w:rPr>
          <w:rFonts w:hAnsi="宋体"/>
          <w:szCs w:val="21"/>
        </w:rPr>
      </w:pPr>
      <w:r>
        <w:rPr>
          <w:rFonts w:hint="eastAsia" w:hAnsi="宋体"/>
          <w:szCs w:val="21"/>
        </w:rPr>
        <w:t>分标号（有分标时填写）：</w:t>
      </w:r>
      <w:r>
        <w:rPr>
          <w:rFonts w:hint="eastAsia" w:hAnsi="宋体"/>
          <w:szCs w:val="21"/>
          <w:u w:val="single"/>
        </w:rPr>
        <w:t xml:space="preserve">             无              </w:t>
      </w:r>
    </w:p>
    <w:p>
      <w:pPr>
        <w:pStyle w:val="25"/>
        <w:spacing w:line="360" w:lineRule="auto"/>
        <w:rPr>
          <w:rFonts w:hAnsi="宋体"/>
          <w:szCs w:val="21"/>
        </w:rPr>
      </w:pPr>
    </w:p>
    <w:p>
      <w:pPr>
        <w:pStyle w:val="25"/>
        <w:spacing w:line="360" w:lineRule="auto"/>
        <w:rPr>
          <w:rFonts w:hAnsi="宋体"/>
          <w:szCs w:val="21"/>
        </w:rPr>
      </w:pPr>
      <w:r>
        <w:rPr>
          <w:rFonts w:hint="eastAsia" w:hAnsi="宋体"/>
          <w:szCs w:val="21"/>
        </w:rPr>
        <w:t>甲方（买方）：</w:t>
      </w:r>
      <w:r>
        <w:rPr>
          <w:rFonts w:hint="eastAsia" w:hAnsi="宋体"/>
          <w:szCs w:val="21"/>
          <w:u w:val="single"/>
        </w:rPr>
        <w:t xml:space="preserve">                                         </w:t>
      </w:r>
    </w:p>
    <w:p>
      <w:pPr>
        <w:pStyle w:val="25"/>
        <w:spacing w:line="360" w:lineRule="auto"/>
        <w:rPr>
          <w:rFonts w:hint="eastAsia" w:hAnsi="宋体"/>
          <w:szCs w:val="21"/>
        </w:rPr>
      </w:pPr>
      <w:r>
        <w:rPr>
          <w:rFonts w:hint="eastAsia" w:hAnsi="宋体"/>
          <w:szCs w:val="21"/>
        </w:rPr>
        <w:t>乙方（卖方）：</w:t>
      </w:r>
      <w:r>
        <w:rPr>
          <w:rFonts w:hint="eastAsia" w:hAnsi="宋体"/>
          <w:szCs w:val="21"/>
          <w:u w:val="single"/>
        </w:rPr>
        <w:t xml:space="preserve">                                         </w:t>
      </w:r>
    </w:p>
    <w:p>
      <w:pPr>
        <w:pStyle w:val="25"/>
        <w:spacing w:line="360" w:lineRule="auto"/>
        <w:rPr>
          <w:rFonts w:hAnsi="宋体"/>
          <w:szCs w:val="21"/>
        </w:rPr>
      </w:pPr>
    </w:p>
    <w:p>
      <w:pPr>
        <w:pStyle w:val="25"/>
        <w:spacing w:line="360" w:lineRule="auto"/>
        <w:ind w:firstLine="420" w:firstLineChars="200"/>
        <w:rPr>
          <w:rFonts w:hAnsi="宋体"/>
          <w:b/>
          <w:szCs w:val="21"/>
        </w:rPr>
      </w:pPr>
      <w:r>
        <w:rPr>
          <w:rFonts w:hint="eastAsia" w:hAnsi="宋体"/>
          <w:szCs w:val="21"/>
        </w:rPr>
        <w:t>根据</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日采购结果，甲方接受乙方对本项目的投标，甲、乙双方同意签署本合同（以下简称合同）。</w:t>
      </w:r>
    </w:p>
    <w:p>
      <w:pPr>
        <w:pStyle w:val="25"/>
        <w:spacing w:line="360" w:lineRule="auto"/>
        <w:ind w:firstLine="422" w:firstLineChars="200"/>
        <w:rPr>
          <w:rFonts w:hAnsi="宋体"/>
          <w:b/>
          <w:bCs/>
          <w:szCs w:val="21"/>
        </w:rPr>
      </w:pPr>
      <w:bookmarkStart w:id="64" w:name="_Toc31637_WPSOffice_Level1"/>
      <w:r>
        <w:rPr>
          <w:rFonts w:hint="eastAsia" w:hAnsi="宋体"/>
          <w:b/>
          <w:bCs/>
          <w:szCs w:val="21"/>
        </w:rPr>
        <w:t>1.  采购内容</w:t>
      </w:r>
      <w:bookmarkEnd w:id="64"/>
    </w:p>
    <w:p>
      <w:pPr>
        <w:pStyle w:val="25"/>
        <w:tabs>
          <w:tab w:val="left" w:pos="5220"/>
        </w:tabs>
        <w:spacing w:line="360" w:lineRule="auto"/>
        <w:ind w:firstLine="420" w:firstLineChars="200"/>
        <w:rPr>
          <w:rFonts w:hAnsi="宋体"/>
          <w:szCs w:val="21"/>
          <w:u w:val="single"/>
        </w:rPr>
      </w:pPr>
      <w:bookmarkStart w:id="65" w:name="_Toc1936_WPSOffice_Level2"/>
      <w:r>
        <w:rPr>
          <w:rFonts w:hint="eastAsia" w:hAnsi="宋体"/>
          <w:szCs w:val="21"/>
        </w:rPr>
        <w:t>1.1 服务名称：</w:t>
      </w:r>
      <w:r>
        <w:rPr>
          <w:rFonts w:hint="eastAsia" w:hAnsi="宋体"/>
          <w:szCs w:val="21"/>
          <w:u w:val="single"/>
        </w:rPr>
        <w:t>详见合同附件中报价表</w:t>
      </w:r>
      <w:bookmarkEnd w:id="65"/>
    </w:p>
    <w:p>
      <w:pPr>
        <w:pStyle w:val="25"/>
        <w:tabs>
          <w:tab w:val="left" w:pos="5220"/>
        </w:tabs>
        <w:spacing w:line="360" w:lineRule="auto"/>
        <w:ind w:firstLine="420" w:firstLineChars="200"/>
        <w:rPr>
          <w:rFonts w:hAnsi="宋体"/>
          <w:szCs w:val="21"/>
        </w:rPr>
      </w:pPr>
      <w:bookmarkStart w:id="66" w:name="_Toc2253_WPSOffice_Level2"/>
      <w:r>
        <w:rPr>
          <w:rFonts w:hint="eastAsia" w:hAnsi="宋体"/>
          <w:szCs w:val="21"/>
        </w:rPr>
        <w:t>1.2 数量：</w:t>
      </w:r>
      <w:r>
        <w:rPr>
          <w:rFonts w:hint="eastAsia" w:hAnsi="宋体"/>
          <w:szCs w:val="21"/>
          <w:u w:val="single"/>
        </w:rPr>
        <w:t>详见合同附件中报价表</w:t>
      </w:r>
      <w:bookmarkEnd w:id="66"/>
    </w:p>
    <w:p>
      <w:pPr>
        <w:pStyle w:val="25"/>
        <w:tabs>
          <w:tab w:val="left" w:pos="5220"/>
        </w:tabs>
        <w:spacing w:line="360" w:lineRule="auto"/>
        <w:ind w:firstLine="420" w:firstLineChars="200"/>
        <w:rPr>
          <w:rFonts w:hAnsi="宋体"/>
          <w:szCs w:val="21"/>
        </w:rPr>
      </w:pPr>
      <w:r>
        <w:rPr>
          <w:rFonts w:hint="eastAsia" w:hAnsi="宋体"/>
          <w:szCs w:val="21"/>
        </w:rPr>
        <w:t xml:space="preserve">1.2 </w:t>
      </w:r>
      <w:r>
        <w:rPr>
          <w:rFonts w:hint="eastAsia"/>
          <w:color w:val="000000"/>
          <w:szCs w:val="21"/>
        </w:rPr>
        <w:t>服务内容及要求</w:t>
      </w:r>
      <w:r>
        <w:rPr>
          <w:rFonts w:hint="eastAsia" w:ascii="Times New Roman" w:hAnsi="Times New Roman"/>
          <w:szCs w:val="21"/>
        </w:rPr>
        <w:t>：</w:t>
      </w:r>
      <w:r>
        <w:rPr>
          <w:rFonts w:hint="eastAsia" w:hAnsi="宋体"/>
          <w:szCs w:val="21"/>
          <w:u w:val="single"/>
        </w:rPr>
        <w:t>详见合同附件中投标服务技术资料表</w:t>
      </w:r>
    </w:p>
    <w:p>
      <w:pPr>
        <w:pStyle w:val="25"/>
        <w:tabs>
          <w:tab w:val="left" w:pos="5145"/>
        </w:tabs>
        <w:spacing w:line="360" w:lineRule="auto"/>
        <w:ind w:firstLine="422" w:firstLineChars="200"/>
        <w:rPr>
          <w:rFonts w:hAnsi="宋体"/>
          <w:b/>
          <w:bCs/>
          <w:szCs w:val="21"/>
        </w:rPr>
      </w:pPr>
      <w:bookmarkStart w:id="67" w:name="_Toc18558_WPSOffice_Level1"/>
      <w:r>
        <w:rPr>
          <w:rFonts w:hint="eastAsia" w:hAnsi="宋体"/>
          <w:b/>
          <w:bCs/>
          <w:szCs w:val="21"/>
        </w:rPr>
        <w:t>2.  合同金额</w:t>
      </w:r>
      <w:bookmarkEnd w:id="67"/>
    </w:p>
    <w:p>
      <w:pPr>
        <w:pStyle w:val="25"/>
        <w:spacing w:line="360" w:lineRule="auto"/>
        <w:ind w:firstLine="411" w:firstLineChars="196"/>
        <w:rPr>
          <w:rFonts w:hAnsi="宋体"/>
          <w:b/>
          <w:bCs/>
          <w:szCs w:val="21"/>
        </w:rPr>
      </w:pPr>
      <w:r>
        <w:rPr>
          <w:rFonts w:hint="eastAsia" w:hAnsi="宋体"/>
          <w:szCs w:val="21"/>
        </w:rPr>
        <w:t>2.1 本合同金额为（大写）人民币</w:t>
      </w:r>
      <w:r>
        <w:rPr>
          <w:rFonts w:hint="eastAsia" w:hAnsi="宋体" w:cs="宋体"/>
          <w:szCs w:val="21"/>
          <w:u w:val="single"/>
        </w:rPr>
        <w:t xml:space="preserve">        </w:t>
      </w:r>
      <w:r>
        <w:rPr>
          <w:rFonts w:hint="eastAsia" w:hAnsi="宋体" w:cs="宋体"/>
          <w:szCs w:val="21"/>
        </w:rPr>
        <w:t>元整(￥</w:t>
      </w:r>
      <w:r>
        <w:rPr>
          <w:rFonts w:hint="eastAsia" w:hAnsi="宋体" w:cs="宋体"/>
          <w:szCs w:val="21"/>
          <w:u w:val="single"/>
        </w:rPr>
        <w:t xml:space="preserve">      </w:t>
      </w:r>
      <w:r>
        <w:rPr>
          <w:rFonts w:hint="eastAsia" w:hAnsi="宋体" w:cs="宋体"/>
          <w:szCs w:val="21"/>
        </w:rPr>
        <w:t>元)</w:t>
      </w:r>
      <w:r>
        <w:rPr>
          <w:rFonts w:hint="eastAsia" w:hAnsi="宋体"/>
          <w:szCs w:val="21"/>
        </w:rPr>
        <w:t>（详见报价表）结算以实际为主，且结算金额不能超过合同总金额。</w:t>
      </w:r>
    </w:p>
    <w:p>
      <w:pPr>
        <w:pStyle w:val="25"/>
        <w:tabs>
          <w:tab w:val="left" w:pos="5940"/>
        </w:tabs>
        <w:spacing w:line="360" w:lineRule="auto"/>
        <w:ind w:firstLine="422" w:firstLineChars="200"/>
        <w:rPr>
          <w:rFonts w:hAnsi="宋体"/>
          <w:b/>
          <w:bCs/>
          <w:szCs w:val="21"/>
        </w:rPr>
      </w:pPr>
      <w:bookmarkStart w:id="68" w:name="_Toc31657_WPSOffice_Level1"/>
      <w:r>
        <w:rPr>
          <w:rFonts w:hint="eastAsia" w:hAnsi="宋体"/>
          <w:b/>
          <w:bCs/>
          <w:szCs w:val="21"/>
        </w:rPr>
        <w:t>3.  提交服务成果时间和地点</w:t>
      </w:r>
      <w:bookmarkEnd w:id="68"/>
    </w:p>
    <w:p>
      <w:pPr>
        <w:pStyle w:val="25"/>
        <w:tabs>
          <w:tab w:val="left" w:pos="5250"/>
          <w:tab w:val="left" w:pos="5940"/>
        </w:tabs>
        <w:spacing w:line="360" w:lineRule="auto"/>
        <w:ind w:firstLine="411" w:firstLineChars="196"/>
        <w:rPr>
          <w:rFonts w:hAnsi="宋体"/>
          <w:b/>
          <w:bCs/>
          <w:szCs w:val="21"/>
        </w:rPr>
      </w:pPr>
      <w:bookmarkStart w:id="69" w:name="_Toc11596_WPSOffice_Level2"/>
      <w:r>
        <w:rPr>
          <w:rFonts w:hint="eastAsia" w:hAnsi="宋体"/>
          <w:bCs/>
          <w:szCs w:val="21"/>
        </w:rPr>
        <w:t xml:space="preserve">3.1 </w:t>
      </w:r>
      <w:r>
        <w:rPr>
          <w:rFonts w:hint="eastAsia"/>
          <w:bCs/>
          <w:szCs w:val="21"/>
        </w:rPr>
        <w:t>提交服务成果时间</w:t>
      </w:r>
      <w:r>
        <w:rPr>
          <w:rFonts w:hint="eastAsia" w:hAnsi="宋体"/>
          <w:bCs/>
          <w:szCs w:val="21"/>
        </w:rPr>
        <w:t>：</w:t>
      </w:r>
      <w:bookmarkEnd w:id="69"/>
      <w:r>
        <w:rPr>
          <w:rFonts w:hint="eastAsia" w:hAnsi="宋体"/>
          <w:szCs w:val="21"/>
          <w:u w:val="single"/>
        </w:rPr>
        <w:t xml:space="preserve">                                             </w:t>
      </w:r>
    </w:p>
    <w:p>
      <w:pPr>
        <w:pStyle w:val="25"/>
        <w:tabs>
          <w:tab w:val="left" w:pos="5940"/>
        </w:tabs>
        <w:spacing w:line="360" w:lineRule="auto"/>
        <w:ind w:firstLine="411" w:firstLineChars="196"/>
        <w:rPr>
          <w:rFonts w:hAnsi="宋体"/>
          <w:b/>
          <w:bCs/>
          <w:szCs w:val="21"/>
        </w:rPr>
      </w:pPr>
      <w:bookmarkStart w:id="70" w:name="_Toc5335_WPSOffice_Level2"/>
      <w:r>
        <w:rPr>
          <w:rFonts w:hint="eastAsia" w:hAnsi="宋体"/>
          <w:bCs/>
          <w:szCs w:val="21"/>
        </w:rPr>
        <w:t xml:space="preserve">3.2 </w:t>
      </w:r>
      <w:r>
        <w:rPr>
          <w:rFonts w:hint="eastAsia"/>
          <w:bCs/>
          <w:szCs w:val="21"/>
        </w:rPr>
        <w:t>提交服务成果</w:t>
      </w:r>
      <w:r>
        <w:rPr>
          <w:rFonts w:hint="eastAsia" w:hAnsi="宋体"/>
          <w:bCs/>
          <w:szCs w:val="21"/>
        </w:rPr>
        <w:t>地点：</w:t>
      </w:r>
      <w:bookmarkEnd w:id="70"/>
      <w:r>
        <w:rPr>
          <w:rFonts w:hint="eastAsia" w:hAnsi="宋体"/>
          <w:szCs w:val="21"/>
          <w:u w:val="single"/>
        </w:rPr>
        <w:t xml:space="preserve">                    </w:t>
      </w:r>
      <w:r>
        <w:rPr>
          <w:rFonts w:hint="eastAsia" w:hAnsi="宋体" w:cs="宋体"/>
          <w:szCs w:val="21"/>
          <w:u w:val="single"/>
        </w:rPr>
        <w:t xml:space="preserve">                      </w:t>
      </w:r>
      <w:r>
        <w:rPr>
          <w:rFonts w:hint="eastAsia" w:hAnsi="宋体"/>
          <w:szCs w:val="21"/>
          <w:u w:val="single"/>
        </w:rPr>
        <w:t xml:space="preserve">   </w:t>
      </w:r>
    </w:p>
    <w:p>
      <w:pPr>
        <w:pStyle w:val="25"/>
        <w:tabs>
          <w:tab w:val="left" w:pos="5940"/>
        </w:tabs>
        <w:spacing w:line="360" w:lineRule="auto"/>
        <w:ind w:firstLine="411" w:firstLineChars="196"/>
        <w:rPr>
          <w:rFonts w:hAnsi="宋体"/>
          <w:b/>
          <w:bCs/>
          <w:szCs w:val="21"/>
        </w:rPr>
      </w:pPr>
      <w:bookmarkStart w:id="71" w:name="_Toc13835_WPSOffice_Level2"/>
      <w:r>
        <w:rPr>
          <w:rFonts w:hint="eastAsia" w:hAnsi="宋体"/>
          <w:bCs/>
          <w:szCs w:val="21"/>
        </w:rPr>
        <w:t xml:space="preserve">3.3 </w:t>
      </w:r>
      <w:r>
        <w:rPr>
          <w:rFonts w:hint="eastAsia" w:hAnsi="宋体"/>
          <w:szCs w:val="21"/>
        </w:rPr>
        <w:t>乙方必须按投标文件承诺的服务响应条款向甲方提供服务。</w:t>
      </w:r>
      <w:bookmarkEnd w:id="71"/>
    </w:p>
    <w:p>
      <w:pPr>
        <w:pStyle w:val="25"/>
        <w:spacing w:line="360" w:lineRule="auto"/>
        <w:ind w:left="420" w:leftChars="200" w:firstLine="63" w:firstLineChars="30"/>
        <w:rPr>
          <w:rFonts w:hAnsi="宋体"/>
          <w:b/>
          <w:szCs w:val="21"/>
        </w:rPr>
      </w:pPr>
      <w:bookmarkStart w:id="72" w:name="_Toc8037_WPSOffice_Level1"/>
      <w:r>
        <w:rPr>
          <w:rFonts w:hint="eastAsia" w:hAnsi="宋体"/>
          <w:b/>
          <w:bCs/>
          <w:szCs w:val="21"/>
        </w:rPr>
        <w:t>4.  履约保证金</w:t>
      </w:r>
      <w:bookmarkEnd w:id="72"/>
    </w:p>
    <w:p>
      <w:pPr>
        <w:pStyle w:val="25"/>
        <w:tabs>
          <w:tab w:val="left" w:pos="5145"/>
        </w:tabs>
        <w:spacing w:line="360" w:lineRule="auto"/>
        <w:ind w:firstLine="420" w:firstLineChars="200"/>
        <w:rPr>
          <w:rFonts w:hAnsi="宋体"/>
          <w:b/>
          <w:szCs w:val="21"/>
        </w:rPr>
      </w:pPr>
      <w:r>
        <w:rPr>
          <w:rFonts w:hint="eastAsia" w:hAnsi="宋体"/>
          <w:szCs w:val="21"/>
        </w:rPr>
        <w:t>4.1 乙方交纳（大写）人民币</w:t>
      </w:r>
      <w:r>
        <w:rPr>
          <w:rFonts w:hint="eastAsia" w:hAnsi="宋体"/>
          <w:szCs w:val="21"/>
          <w:u w:val="single"/>
        </w:rPr>
        <w:t xml:space="preserve">                    </w:t>
      </w:r>
      <w:r>
        <w:rPr>
          <w:rFonts w:hint="eastAsia" w:hAnsi="宋体"/>
          <w:szCs w:val="21"/>
        </w:rPr>
        <w:t>（￥</w:t>
      </w:r>
      <w:r>
        <w:rPr>
          <w:rFonts w:hint="eastAsia" w:hAnsi="宋体"/>
          <w:szCs w:val="21"/>
          <w:u w:val="single"/>
        </w:rPr>
        <w:t xml:space="preserve">　     </w:t>
      </w:r>
      <w:r>
        <w:rPr>
          <w:rFonts w:hint="eastAsia" w:hAnsi="宋体"/>
          <w:szCs w:val="21"/>
        </w:rPr>
        <w:t>元）作为本合同的履约保证金。</w:t>
      </w:r>
    </w:p>
    <w:p>
      <w:pPr>
        <w:pStyle w:val="25"/>
        <w:spacing w:line="360" w:lineRule="auto"/>
        <w:ind w:firstLine="420" w:firstLineChars="200"/>
        <w:rPr>
          <w:rFonts w:hAnsi="宋体"/>
          <w:szCs w:val="21"/>
        </w:rPr>
      </w:pPr>
      <w:r>
        <w:rPr>
          <w:rFonts w:hint="eastAsia" w:hAnsi="宋体"/>
          <w:szCs w:val="21"/>
        </w:rPr>
        <w:t>4.2 履约保证金作为违约金的一部分用于补偿甲方因乙方不能完成其合同义务而蒙受的损失。</w:t>
      </w:r>
    </w:p>
    <w:p>
      <w:pPr>
        <w:pStyle w:val="25"/>
        <w:spacing w:line="360" w:lineRule="auto"/>
        <w:ind w:left="420" w:leftChars="200" w:firstLine="61" w:firstLineChars="29"/>
        <w:rPr>
          <w:rFonts w:hAnsi="宋体"/>
          <w:b/>
          <w:szCs w:val="21"/>
        </w:rPr>
      </w:pPr>
      <w:bookmarkStart w:id="73" w:name="_Toc7078_WPSOffice_Level1"/>
      <w:r>
        <w:rPr>
          <w:rFonts w:hint="eastAsia" w:hAnsi="宋体"/>
          <w:b/>
          <w:bCs/>
          <w:szCs w:val="21"/>
        </w:rPr>
        <w:t>5.  产权</w:t>
      </w:r>
      <w:bookmarkEnd w:id="73"/>
    </w:p>
    <w:p>
      <w:pPr>
        <w:pStyle w:val="25"/>
        <w:spacing w:line="360" w:lineRule="auto"/>
        <w:ind w:firstLine="420" w:firstLineChars="200"/>
        <w:rPr>
          <w:rFonts w:hAnsi="宋体"/>
          <w:b/>
          <w:szCs w:val="21"/>
        </w:rPr>
      </w:pPr>
      <w:r>
        <w:rPr>
          <w:rFonts w:hint="eastAsia" w:hAnsi="宋体"/>
          <w:szCs w:val="21"/>
        </w:rPr>
        <w:t xml:space="preserve">5.1 </w:t>
      </w:r>
      <w:r>
        <w:rPr>
          <w:rFonts w:hint="eastAsia" w:ascii="Times New Roman" w:hAnsi="Times New Roman"/>
          <w:szCs w:val="21"/>
        </w:rPr>
        <w:t>乙方应保证所提供的服务或其任何一部分均不会侵犯任何第三方的专利权、商标权或著作权</w:t>
      </w:r>
      <w:r>
        <w:rPr>
          <w:rFonts w:hint="eastAsia" w:hAnsi="宋体"/>
          <w:bCs/>
          <w:szCs w:val="21"/>
        </w:rPr>
        <w:t>。</w:t>
      </w:r>
    </w:p>
    <w:p>
      <w:pPr>
        <w:pStyle w:val="25"/>
        <w:spacing w:line="360" w:lineRule="auto"/>
        <w:ind w:firstLine="420" w:firstLineChars="200"/>
        <w:rPr>
          <w:rFonts w:hAnsi="宋体"/>
          <w:b/>
          <w:szCs w:val="21"/>
        </w:rPr>
      </w:pPr>
      <w:r>
        <w:rPr>
          <w:rFonts w:hint="eastAsia" w:hAnsi="宋体"/>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5"/>
        <w:spacing w:line="360" w:lineRule="auto"/>
        <w:ind w:firstLine="422" w:firstLineChars="200"/>
        <w:rPr>
          <w:rFonts w:hAnsi="宋体"/>
          <w:b/>
          <w:szCs w:val="21"/>
        </w:rPr>
      </w:pPr>
      <w:bookmarkStart w:id="74" w:name="_Toc21234_WPSOffice_Level1"/>
      <w:r>
        <w:rPr>
          <w:rFonts w:hint="eastAsia" w:hAnsi="宋体"/>
          <w:b/>
          <w:bCs/>
          <w:szCs w:val="21"/>
        </w:rPr>
        <w:t>6.  技术资料</w:t>
      </w:r>
      <w:bookmarkEnd w:id="74"/>
    </w:p>
    <w:p>
      <w:pPr>
        <w:pStyle w:val="25"/>
        <w:tabs>
          <w:tab w:val="left" w:pos="0"/>
        </w:tabs>
        <w:spacing w:line="360" w:lineRule="auto"/>
        <w:ind w:firstLine="420" w:firstLineChars="200"/>
        <w:rPr>
          <w:rFonts w:hAnsi="宋体"/>
          <w:szCs w:val="21"/>
        </w:rPr>
      </w:pPr>
      <w:r>
        <w:rPr>
          <w:rFonts w:hint="eastAsia" w:hAnsi="宋体"/>
          <w:szCs w:val="21"/>
        </w:rPr>
        <w:t>6.1 甲方应向乙方提供提交服务成果所必需的有关数据、资料等。</w:t>
      </w:r>
    </w:p>
    <w:p>
      <w:pPr>
        <w:pStyle w:val="25"/>
        <w:tabs>
          <w:tab w:val="left" w:pos="0"/>
        </w:tabs>
        <w:spacing w:line="360" w:lineRule="auto"/>
        <w:ind w:firstLine="420" w:firstLineChars="200"/>
        <w:rPr>
          <w:rFonts w:hAnsi="宋体"/>
          <w:szCs w:val="21"/>
        </w:rPr>
      </w:pPr>
      <w:r>
        <w:rPr>
          <w:rFonts w:hint="eastAsia" w:hAnsi="宋体"/>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pacing w:line="360" w:lineRule="auto"/>
        <w:ind w:firstLine="422" w:firstLineChars="200"/>
        <w:rPr>
          <w:rFonts w:hAnsi="宋体"/>
          <w:b/>
          <w:bCs/>
          <w:szCs w:val="21"/>
        </w:rPr>
      </w:pPr>
      <w:bookmarkStart w:id="75" w:name="_Toc16788_WPSOffice_Level1"/>
      <w:r>
        <w:rPr>
          <w:rFonts w:hint="eastAsia" w:hAnsi="宋体"/>
          <w:b/>
          <w:bCs/>
          <w:szCs w:val="21"/>
        </w:rPr>
        <w:t>7.  验收</w:t>
      </w:r>
      <w:bookmarkEnd w:id="75"/>
    </w:p>
    <w:p>
      <w:pPr>
        <w:pStyle w:val="25"/>
        <w:tabs>
          <w:tab w:val="left" w:pos="0"/>
        </w:tabs>
        <w:spacing w:line="360" w:lineRule="auto"/>
        <w:ind w:firstLine="420" w:firstLineChars="200"/>
        <w:rPr>
          <w:rFonts w:hAnsi="宋体"/>
          <w:szCs w:val="21"/>
        </w:rPr>
      </w:pPr>
      <w:r>
        <w:rPr>
          <w:rFonts w:hint="eastAsia" w:hAnsi="宋体"/>
          <w:szCs w:val="21"/>
        </w:rPr>
        <w:t>7.1 乙方应对提交的服务成果作出全面检查和整理，并列出清单，作为甲方验收和使用的技术条件依据，清单应随提交的服务成果交给甲方。</w:t>
      </w:r>
    </w:p>
    <w:p>
      <w:pPr>
        <w:pStyle w:val="25"/>
        <w:tabs>
          <w:tab w:val="left" w:pos="0"/>
        </w:tabs>
        <w:spacing w:line="360" w:lineRule="auto"/>
        <w:ind w:firstLine="420" w:firstLineChars="200"/>
        <w:rPr>
          <w:rFonts w:hAnsi="宋体"/>
          <w:szCs w:val="21"/>
        </w:rPr>
      </w:pPr>
      <w:r>
        <w:rPr>
          <w:rFonts w:hint="eastAsia" w:hAnsi="宋体"/>
          <w:szCs w:val="21"/>
        </w:rPr>
        <w:t>7.2 乙方在指定地点提交服务成果后，甲方应在5个工作日内依据招标文件、乙方的投标文件等组织验收，验收完毕后作出书面验收报告。验收时乙方必须在现场。</w:t>
      </w:r>
    </w:p>
    <w:p>
      <w:pPr>
        <w:pStyle w:val="25"/>
        <w:tabs>
          <w:tab w:val="left" w:pos="0"/>
        </w:tabs>
        <w:spacing w:line="360" w:lineRule="auto"/>
        <w:ind w:firstLine="420" w:firstLineChars="200"/>
        <w:rPr>
          <w:rFonts w:hint="default" w:hAnsi="宋体" w:eastAsia="宋体"/>
          <w:szCs w:val="21"/>
          <w:lang w:val="en-US" w:eastAsia="zh-CN"/>
        </w:rPr>
      </w:pPr>
      <w:r>
        <w:rPr>
          <w:rFonts w:hint="eastAsia" w:hAnsi="宋体"/>
          <w:szCs w:val="21"/>
        </w:rPr>
        <w:t>7.3 对复杂的服务，甲方可请国家认可的专业机构参与验收，并由其出具验收报告，相关费用由甲方承担。</w:t>
      </w:r>
    </w:p>
    <w:p>
      <w:pPr>
        <w:pStyle w:val="25"/>
        <w:spacing w:line="360" w:lineRule="auto"/>
        <w:ind w:firstLine="422" w:firstLineChars="200"/>
        <w:rPr>
          <w:rFonts w:hAnsi="宋体"/>
          <w:b/>
          <w:bCs/>
          <w:szCs w:val="21"/>
        </w:rPr>
      </w:pPr>
      <w:bookmarkStart w:id="76" w:name="_Toc11791_WPSOffice_Level1"/>
      <w:r>
        <w:rPr>
          <w:rFonts w:hint="eastAsia" w:hAnsi="宋体"/>
          <w:b/>
          <w:bCs/>
          <w:szCs w:val="21"/>
        </w:rPr>
        <w:t>8.  合同款支付</w:t>
      </w:r>
      <w:bookmarkEnd w:id="76"/>
    </w:p>
    <w:p>
      <w:pPr>
        <w:tabs>
          <w:tab w:val="left" w:pos="3490"/>
          <w:tab w:val="left" w:pos="3670"/>
          <w:tab w:val="left" w:pos="3895"/>
        </w:tabs>
        <w:spacing w:line="360" w:lineRule="auto"/>
        <w:ind w:firstLine="420" w:firstLineChars="200"/>
        <w:rPr>
          <w:rFonts w:hAnsi="宋体"/>
          <w:bCs/>
          <w:szCs w:val="21"/>
          <w:u w:val="single"/>
        </w:rPr>
      </w:pPr>
      <w:r>
        <w:rPr>
          <w:rFonts w:hint="eastAsia" w:hAnsi="宋体"/>
          <w:bCs/>
          <w:szCs w:val="21"/>
        </w:rPr>
        <w:t xml:space="preserve"> 付款方式：</w:t>
      </w:r>
      <w:r>
        <w:rPr>
          <w:rFonts w:hint="eastAsia" w:hAnsi="宋体"/>
          <w:bCs/>
          <w:szCs w:val="21"/>
          <w:u w:val="single"/>
        </w:rPr>
        <w:t xml:space="preserve">                                                            </w:t>
      </w:r>
      <w:r>
        <w:rPr>
          <w:rFonts w:hAnsi="宋体"/>
          <w:bCs/>
          <w:szCs w:val="21"/>
          <w:u w:val="single"/>
        </w:rPr>
        <w:t xml:space="preserve"> </w:t>
      </w:r>
    </w:p>
    <w:p>
      <w:pPr>
        <w:pStyle w:val="25"/>
        <w:spacing w:line="360" w:lineRule="auto"/>
        <w:ind w:firstLine="422" w:firstLineChars="200"/>
        <w:rPr>
          <w:rFonts w:hAnsi="宋体"/>
          <w:b/>
          <w:bCs/>
          <w:szCs w:val="21"/>
        </w:rPr>
      </w:pPr>
      <w:bookmarkStart w:id="77" w:name="_Toc7592_WPSOffice_Level1"/>
      <w:r>
        <w:rPr>
          <w:rFonts w:hint="eastAsia" w:hAnsi="宋体"/>
          <w:b/>
          <w:bCs/>
          <w:szCs w:val="21"/>
        </w:rPr>
        <w:t>9.  售后服务要求</w:t>
      </w:r>
      <w:bookmarkEnd w:id="77"/>
    </w:p>
    <w:p>
      <w:pPr>
        <w:pStyle w:val="25"/>
        <w:spacing w:line="360" w:lineRule="auto"/>
        <w:ind w:firstLine="420" w:firstLineChars="200"/>
        <w:rPr>
          <w:rFonts w:hAnsi="宋体"/>
          <w:szCs w:val="21"/>
        </w:rPr>
      </w:pPr>
      <w:r>
        <w:rPr>
          <w:rFonts w:hint="eastAsia" w:hAnsi="宋体"/>
          <w:szCs w:val="21"/>
        </w:rPr>
        <w:t>9.1 乙方提供服务的质量保证期为：</w:t>
      </w:r>
      <w:r>
        <w:rPr>
          <w:rFonts w:hint="eastAsia" w:hAnsi="宋体"/>
          <w:szCs w:val="21"/>
          <w:u w:val="single"/>
        </w:rPr>
        <w:t xml:space="preserve">　                </w:t>
      </w:r>
      <w:r>
        <w:rPr>
          <w:rFonts w:hint="eastAsia" w:hAnsi="宋体"/>
          <w:szCs w:val="21"/>
        </w:rPr>
        <w:t>（自提交服务验收合格之日起计）</w:t>
      </w:r>
    </w:p>
    <w:p>
      <w:pPr>
        <w:pStyle w:val="25"/>
        <w:spacing w:line="360" w:lineRule="auto"/>
        <w:ind w:firstLine="420" w:firstLineChars="200"/>
        <w:rPr>
          <w:rFonts w:hAnsi="宋体"/>
          <w:color w:val="auto"/>
          <w:szCs w:val="21"/>
        </w:rPr>
      </w:pPr>
      <w:r>
        <w:rPr>
          <w:rFonts w:hint="eastAsia" w:hAnsi="宋体"/>
          <w:color w:val="auto"/>
          <w:szCs w:val="21"/>
        </w:rPr>
        <w:t>9.2 质量保证金为（大写）人民币</w:t>
      </w:r>
      <w:r>
        <w:rPr>
          <w:rFonts w:hint="eastAsia" w:hAnsi="宋体"/>
          <w:color w:val="auto"/>
          <w:szCs w:val="21"/>
          <w:u w:val="single"/>
        </w:rPr>
        <w:t xml:space="preserve">                    整</w:t>
      </w:r>
      <w:r>
        <w:rPr>
          <w:rFonts w:hint="eastAsia" w:hAnsi="宋体"/>
          <w:color w:val="auto"/>
          <w:szCs w:val="21"/>
        </w:rPr>
        <w:t>（￥</w:t>
      </w:r>
      <w:r>
        <w:rPr>
          <w:rFonts w:hint="eastAsia" w:hAnsi="宋体"/>
          <w:color w:val="auto"/>
          <w:szCs w:val="21"/>
          <w:u w:val="single"/>
        </w:rPr>
        <w:t xml:space="preserve">　    </w:t>
      </w:r>
      <w:r>
        <w:rPr>
          <w:rFonts w:hint="eastAsia" w:hAnsi="宋体"/>
          <w:color w:val="auto"/>
          <w:szCs w:val="21"/>
        </w:rPr>
        <w:t>元）（履约保证金在中标供应商按合同约定所提交的服务验收合格后自行转为质保金。）</w:t>
      </w:r>
    </w:p>
    <w:p>
      <w:pPr>
        <w:pStyle w:val="25"/>
        <w:spacing w:line="360" w:lineRule="auto"/>
        <w:ind w:firstLine="420" w:firstLineChars="200"/>
        <w:rPr>
          <w:rFonts w:hint="eastAsia" w:hAnsi="宋体"/>
          <w:szCs w:val="21"/>
        </w:rPr>
      </w:pPr>
      <w:r>
        <w:rPr>
          <w:rFonts w:hint="eastAsia" w:hAnsi="宋体"/>
          <w:szCs w:val="21"/>
        </w:rPr>
        <w:t>9.3 履约保证金自乙方按合同约定交货验收合格之日起转为质量保证金。在质保期内乙方提供的货物质量和服务符合合同约定，经验收合格，质保期满后乙方向甲方办理退付手续，甲方将在收到完整且合格的退付申请资料后五个工作日内以转账或电汇方式无息退还乙方。</w:t>
      </w:r>
    </w:p>
    <w:p>
      <w:pPr>
        <w:pStyle w:val="25"/>
        <w:spacing w:line="360" w:lineRule="auto"/>
        <w:ind w:firstLine="420" w:firstLineChars="200"/>
        <w:rPr>
          <w:rFonts w:hint="eastAsia" w:hAnsi="宋体"/>
          <w:szCs w:val="21"/>
        </w:rPr>
      </w:pPr>
      <w:r>
        <w:rPr>
          <w:rFonts w:hint="eastAsia" w:hAnsi="宋体"/>
          <w:szCs w:val="21"/>
        </w:rPr>
        <w:t>9.4 在本合同第9.1项约定的质量保证期内，乙方应对服务出现的问题负责处理解决并承担一切费用。</w:t>
      </w:r>
    </w:p>
    <w:p>
      <w:pPr>
        <w:pStyle w:val="25"/>
        <w:spacing w:line="360" w:lineRule="auto"/>
        <w:ind w:firstLine="420" w:firstLineChars="200"/>
        <w:rPr>
          <w:rFonts w:hint="eastAsia" w:hAnsi="宋体"/>
          <w:szCs w:val="21"/>
          <w:u w:val="single"/>
        </w:rPr>
      </w:pPr>
      <w:r>
        <w:rPr>
          <w:rFonts w:hint="eastAsia" w:hAnsi="宋体"/>
          <w:szCs w:val="21"/>
        </w:rPr>
        <w:t>9.5 其他售后服务要求：</w:t>
      </w:r>
      <w:r>
        <w:rPr>
          <w:rFonts w:hint="eastAsia" w:hAnsi="宋体"/>
          <w:szCs w:val="21"/>
          <w:u w:val="single"/>
        </w:rPr>
        <w:t>按响应文件商务条款偏离表及澄清函（商务条款偏离表与澄清函不一致的以澄清函为准）内容执行。</w:t>
      </w:r>
    </w:p>
    <w:p>
      <w:pPr>
        <w:pStyle w:val="25"/>
        <w:spacing w:line="360" w:lineRule="auto"/>
        <w:ind w:firstLine="422" w:firstLineChars="200"/>
        <w:rPr>
          <w:rFonts w:hAnsi="宋体"/>
          <w:b/>
          <w:bCs/>
          <w:szCs w:val="21"/>
        </w:rPr>
      </w:pPr>
      <w:bookmarkStart w:id="78" w:name="_Toc21805_WPSOffice_Level1"/>
      <w:r>
        <w:rPr>
          <w:rFonts w:hint="eastAsia" w:hAnsi="宋体"/>
          <w:b/>
          <w:bCs/>
          <w:szCs w:val="21"/>
        </w:rPr>
        <w:t>10.  违约责任</w:t>
      </w:r>
      <w:bookmarkEnd w:id="78"/>
    </w:p>
    <w:p>
      <w:pPr>
        <w:pStyle w:val="25"/>
        <w:spacing w:line="360" w:lineRule="auto"/>
        <w:ind w:firstLine="420" w:firstLineChars="200"/>
        <w:rPr>
          <w:rFonts w:hAnsi="宋体"/>
          <w:szCs w:val="21"/>
        </w:rPr>
      </w:pPr>
      <w:r>
        <w:rPr>
          <w:rFonts w:hint="eastAsia" w:hAnsi="宋体"/>
          <w:szCs w:val="21"/>
        </w:rPr>
        <w:t>10.1 甲方无正当理由拒收服务的，甲方向乙方偿付拒收服务费总值的百分之五违约金。</w:t>
      </w:r>
    </w:p>
    <w:p>
      <w:pPr>
        <w:pStyle w:val="25"/>
        <w:spacing w:line="360" w:lineRule="auto"/>
        <w:ind w:firstLine="420" w:firstLineChars="200"/>
        <w:rPr>
          <w:rFonts w:hAnsi="宋体"/>
          <w:szCs w:val="21"/>
        </w:rPr>
      </w:pPr>
      <w:r>
        <w:rPr>
          <w:rFonts w:hint="eastAsia" w:hAnsi="宋体"/>
          <w:szCs w:val="21"/>
        </w:rPr>
        <w:t>10.2 甲方无故逾期验收或办理合同款支付手续的，甲方应按逾期付款总额每日万分之五向乙方支付违约金。</w:t>
      </w:r>
    </w:p>
    <w:p>
      <w:pPr>
        <w:pStyle w:val="25"/>
        <w:spacing w:line="360" w:lineRule="auto"/>
        <w:ind w:firstLine="420" w:firstLineChars="200"/>
        <w:rPr>
          <w:rFonts w:hAnsi="宋体"/>
          <w:szCs w:val="21"/>
        </w:rPr>
      </w:pPr>
      <w:r>
        <w:rPr>
          <w:rFonts w:hint="eastAsia" w:hAnsi="宋体"/>
          <w:szCs w:val="21"/>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5"/>
        <w:spacing w:line="360" w:lineRule="auto"/>
        <w:ind w:firstLine="422" w:firstLineChars="200"/>
        <w:rPr>
          <w:rFonts w:hAnsi="宋体"/>
          <w:b/>
          <w:bCs/>
          <w:szCs w:val="21"/>
        </w:rPr>
      </w:pPr>
      <w:bookmarkStart w:id="79" w:name="_Toc27486_WPSOffice_Level1"/>
      <w:r>
        <w:rPr>
          <w:rFonts w:hint="eastAsia" w:hAnsi="宋体"/>
          <w:b/>
          <w:bCs/>
          <w:szCs w:val="21"/>
        </w:rPr>
        <w:t>11.  不可抗力事件处理</w:t>
      </w:r>
      <w:bookmarkEnd w:id="79"/>
    </w:p>
    <w:p>
      <w:pPr>
        <w:pStyle w:val="25"/>
        <w:spacing w:line="360" w:lineRule="auto"/>
        <w:ind w:firstLine="420" w:firstLineChars="200"/>
        <w:rPr>
          <w:rFonts w:hAnsi="宋体"/>
          <w:szCs w:val="21"/>
        </w:rPr>
      </w:pPr>
      <w:r>
        <w:rPr>
          <w:rFonts w:hint="eastAsia" w:hAnsi="宋体"/>
          <w:szCs w:val="21"/>
        </w:rPr>
        <w:t>11.1 在合同有效期内，任何一方因不可抗力事件导致不能履行合同，则合同履行期可延长，其延长期与不可抗力影响期相同。</w:t>
      </w:r>
    </w:p>
    <w:p>
      <w:pPr>
        <w:pStyle w:val="25"/>
        <w:spacing w:line="360" w:lineRule="auto"/>
        <w:ind w:firstLine="420" w:firstLineChars="200"/>
        <w:rPr>
          <w:rFonts w:hAnsi="宋体"/>
          <w:szCs w:val="21"/>
        </w:rPr>
      </w:pPr>
      <w:r>
        <w:rPr>
          <w:rFonts w:hint="eastAsia" w:hAnsi="宋体"/>
          <w:szCs w:val="21"/>
        </w:rPr>
        <w:t>11.2 不可抗力事件发生后，应立即通知对方，并寄送有关权威机构出具的证明。</w:t>
      </w:r>
    </w:p>
    <w:p>
      <w:pPr>
        <w:pStyle w:val="25"/>
        <w:spacing w:line="360" w:lineRule="auto"/>
        <w:ind w:firstLine="420" w:firstLineChars="200"/>
        <w:rPr>
          <w:rFonts w:hAnsi="宋体"/>
          <w:szCs w:val="21"/>
        </w:rPr>
      </w:pPr>
      <w:r>
        <w:rPr>
          <w:rFonts w:hint="eastAsia" w:hAnsi="宋体"/>
          <w:szCs w:val="21"/>
        </w:rPr>
        <w:t>11.3 不可抗力事件延续120天以上，双方应通过友好协商，确定是否继续履行合同。</w:t>
      </w:r>
    </w:p>
    <w:p>
      <w:pPr>
        <w:pStyle w:val="25"/>
        <w:spacing w:line="360" w:lineRule="auto"/>
        <w:ind w:firstLine="422" w:firstLineChars="200"/>
        <w:rPr>
          <w:rFonts w:hAnsi="宋体"/>
          <w:b/>
          <w:bCs/>
          <w:szCs w:val="21"/>
        </w:rPr>
      </w:pPr>
      <w:bookmarkStart w:id="80" w:name="_Toc17277_WPSOffice_Level1"/>
      <w:r>
        <w:rPr>
          <w:rFonts w:hint="eastAsia" w:hAnsi="宋体"/>
          <w:b/>
          <w:bCs/>
          <w:szCs w:val="21"/>
        </w:rPr>
        <w:t>12.  诉讼</w:t>
      </w:r>
      <w:bookmarkEnd w:id="80"/>
    </w:p>
    <w:p>
      <w:pPr>
        <w:pStyle w:val="25"/>
        <w:tabs>
          <w:tab w:val="left" w:pos="0"/>
        </w:tabs>
        <w:spacing w:line="360" w:lineRule="auto"/>
        <w:ind w:firstLine="420" w:firstLineChars="200"/>
        <w:rPr>
          <w:rFonts w:hAnsi="宋体"/>
          <w:szCs w:val="21"/>
        </w:rPr>
      </w:pPr>
      <w:r>
        <w:rPr>
          <w:rFonts w:hint="eastAsia" w:hAnsi="宋体"/>
          <w:szCs w:val="21"/>
        </w:rPr>
        <w:t>12.1 双方在执行合同中所发生的一切争议，应通过协商解决。如协商不成，可向合同签订地法院起诉，合同签订地在此约定为广西南宁市青秀区。</w:t>
      </w:r>
    </w:p>
    <w:p>
      <w:pPr>
        <w:pStyle w:val="25"/>
        <w:spacing w:line="360" w:lineRule="auto"/>
        <w:ind w:firstLine="422" w:firstLineChars="200"/>
        <w:rPr>
          <w:rFonts w:hAnsi="宋体"/>
          <w:b/>
          <w:bCs/>
          <w:szCs w:val="21"/>
        </w:rPr>
      </w:pPr>
      <w:bookmarkStart w:id="81" w:name="_Toc14397_WPSOffice_Level1"/>
      <w:r>
        <w:rPr>
          <w:rFonts w:hint="eastAsia" w:hAnsi="宋体"/>
          <w:b/>
          <w:bCs/>
          <w:szCs w:val="21"/>
        </w:rPr>
        <w:t>13.  合同生效及其它</w:t>
      </w:r>
      <w:bookmarkEnd w:id="81"/>
    </w:p>
    <w:p>
      <w:pPr>
        <w:pStyle w:val="25"/>
        <w:spacing w:line="360" w:lineRule="auto"/>
        <w:ind w:firstLine="420" w:firstLineChars="200"/>
        <w:rPr>
          <w:rFonts w:hAnsi="宋体"/>
          <w:szCs w:val="21"/>
        </w:rPr>
      </w:pPr>
      <w:r>
        <w:rPr>
          <w:rFonts w:hint="eastAsia" w:hAnsi="宋体"/>
          <w:szCs w:val="21"/>
        </w:rPr>
        <w:t>13.1 合同经双方法定代表人或授权委托代理人签字并加盖单位公章后生效。</w:t>
      </w:r>
    </w:p>
    <w:p>
      <w:pPr>
        <w:pStyle w:val="25"/>
        <w:spacing w:line="360" w:lineRule="auto"/>
        <w:ind w:firstLine="420" w:firstLineChars="200"/>
        <w:rPr>
          <w:rFonts w:hAnsi="宋体"/>
          <w:szCs w:val="21"/>
        </w:rPr>
      </w:pPr>
      <w:r>
        <w:rPr>
          <w:rFonts w:hint="eastAsia" w:hAnsi="宋体"/>
          <w:szCs w:val="21"/>
        </w:rPr>
        <w:t>13.2 合同执行中涉及采购资金和采购内容修改或补充的，须签书面补充协议，方可作为主合同不可分割的一部分。</w:t>
      </w:r>
    </w:p>
    <w:p>
      <w:pPr>
        <w:pStyle w:val="25"/>
        <w:spacing w:line="360" w:lineRule="auto"/>
        <w:ind w:firstLine="420" w:firstLineChars="200"/>
        <w:rPr>
          <w:rFonts w:hAnsi="宋体"/>
          <w:szCs w:val="21"/>
        </w:rPr>
      </w:pPr>
      <w:r>
        <w:rPr>
          <w:rFonts w:hint="eastAsia" w:hAnsi="宋体"/>
          <w:szCs w:val="21"/>
        </w:rPr>
        <w:t>13.3 下述合同附件为本合同不可分割的部分并与本合同具有同等效力：</w:t>
      </w:r>
    </w:p>
    <w:p>
      <w:pPr>
        <w:pStyle w:val="25"/>
        <w:spacing w:line="360" w:lineRule="auto"/>
        <w:ind w:firstLine="420" w:firstLineChars="200"/>
        <w:rPr>
          <w:rFonts w:hAnsi="宋体"/>
          <w:szCs w:val="21"/>
        </w:rPr>
      </w:pPr>
      <w:bookmarkStart w:id="82" w:name="_Toc1568_WPSOffice_Level2"/>
      <w:r>
        <w:rPr>
          <w:rFonts w:hint="eastAsia" w:hAnsi="宋体"/>
          <w:szCs w:val="21"/>
        </w:rPr>
        <w:t>（1）中标通知书；</w:t>
      </w:r>
      <w:bookmarkEnd w:id="82"/>
    </w:p>
    <w:p>
      <w:pPr>
        <w:pStyle w:val="25"/>
        <w:spacing w:line="360" w:lineRule="auto"/>
        <w:ind w:firstLine="420" w:firstLineChars="200"/>
        <w:rPr>
          <w:rFonts w:hAnsi="宋体"/>
          <w:szCs w:val="21"/>
        </w:rPr>
      </w:pPr>
      <w:bookmarkStart w:id="83" w:name="_Toc2368_WPSOffice_Level2"/>
      <w:r>
        <w:rPr>
          <w:rFonts w:hint="eastAsia" w:hAnsi="宋体"/>
          <w:szCs w:val="21"/>
        </w:rPr>
        <w:t>（2）履约保证金交纳证明；</w:t>
      </w:r>
      <w:bookmarkEnd w:id="83"/>
    </w:p>
    <w:p>
      <w:pPr>
        <w:pStyle w:val="25"/>
        <w:spacing w:line="360" w:lineRule="auto"/>
        <w:ind w:firstLine="420" w:firstLineChars="200"/>
        <w:rPr>
          <w:rFonts w:hAnsi="宋体"/>
          <w:szCs w:val="21"/>
        </w:rPr>
      </w:pPr>
      <w:bookmarkStart w:id="84" w:name="_Toc14968_WPSOffice_Level2"/>
      <w:r>
        <w:rPr>
          <w:rFonts w:hint="eastAsia" w:hAnsi="宋体"/>
          <w:szCs w:val="21"/>
        </w:rPr>
        <w:t>（3）招标文件服务需求一览表；</w:t>
      </w:r>
      <w:bookmarkEnd w:id="84"/>
    </w:p>
    <w:p>
      <w:pPr>
        <w:pStyle w:val="25"/>
        <w:spacing w:line="360" w:lineRule="auto"/>
        <w:ind w:firstLine="420" w:firstLineChars="200"/>
        <w:rPr>
          <w:rFonts w:hAnsi="宋体"/>
          <w:szCs w:val="21"/>
        </w:rPr>
      </w:pPr>
      <w:bookmarkStart w:id="85" w:name="_Toc30969_WPSOffice_Level2"/>
      <w:r>
        <w:rPr>
          <w:rFonts w:hint="eastAsia" w:hAnsi="宋体"/>
          <w:szCs w:val="21"/>
        </w:rPr>
        <w:t>（4）招标文件的澄清和修改；</w:t>
      </w:r>
      <w:bookmarkEnd w:id="85"/>
    </w:p>
    <w:p>
      <w:pPr>
        <w:pStyle w:val="25"/>
        <w:spacing w:line="360" w:lineRule="auto"/>
        <w:ind w:firstLine="420" w:firstLineChars="200"/>
        <w:rPr>
          <w:rFonts w:hAnsi="宋体"/>
          <w:szCs w:val="21"/>
        </w:rPr>
      </w:pPr>
      <w:bookmarkStart w:id="86" w:name="_Toc300_WPSOffice_Level2"/>
      <w:r>
        <w:rPr>
          <w:rFonts w:hint="eastAsia" w:hAnsi="宋体"/>
          <w:szCs w:val="21"/>
        </w:rPr>
        <w:t>（5）投标函、报价表；</w:t>
      </w:r>
      <w:bookmarkEnd w:id="86"/>
    </w:p>
    <w:p>
      <w:pPr>
        <w:pStyle w:val="25"/>
        <w:spacing w:line="360" w:lineRule="auto"/>
        <w:ind w:firstLine="420" w:firstLineChars="200"/>
        <w:rPr>
          <w:rFonts w:hAnsi="宋体"/>
          <w:szCs w:val="21"/>
        </w:rPr>
      </w:pPr>
      <w:bookmarkStart w:id="87" w:name="_Toc12002_WPSOffice_Level2"/>
      <w:r>
        <w:rPr>
          <w:rFonts w:hint="eastAsia" w:hAnsi="宋体"/>
          <w:szCs w:val="21"/>
        </w:rPr>
        <w:t>（6）投标服务技术资料表、商务条款偏离表、售后服务承诺书；</w:t>
      </w:r>
      <w:bookmarkEnd w:id="87"/>
    </w:p>
    <w:p>
      <w:pPr>
        <w:pStyle w:val="25"/>
        <w:spacing w:line="360" w:lineRule="auto"/>
        <w:ind w:firstLine="420" w:firstLineChars="200"/>
        <w:rPr>
          <w:rFonts w:hAnsi="宋体"/>
          <w:szCs w:val="21"/>
        </w:rPr>
      </w:pPr>
      <w:bookmarkStart w:id="88" w:name="_Toc24194_WPSOffice_Level2"/>
      <w:r>
        <w:rPr>
          <w:rFonts w:hint="eastAsia" w:hAnsi="宋体"/>
          <w:szCs w:val="21"/>
        </w:rPr>
        <w:t>（7）中标供应商澄清函。</w:t>
      </w:r>
      <w:bookmarkEnd w:id="88"/>
    </w:p>
    <w:p>
      <w:pPr>
        <w:pStyle w:val="25"/>
        <w:spacing w:line="360" w:lineRule="auto"/>
        <w:ind w:firstLine="420" w:firstLineChars="200"/>
        <w:rPr>
          <w:rFonts w:hAnsi="宋体"/>
          <w:szCs w:val="21"/>
        </w:rPr>
      </w:pPr>
      <w:r>
        <w:rPr>
          <w:rFonts w:hint="eastAsia" w:hAnsi="宋体"/>
          <w:szCs w:val="21"/>
        </w:rPr>
        <w:t>13.4 本合同未尽事宜，遵照《中华人民共和国合同法》有关条文执行。</w:t>
      </w:r>
    </w:p>
    <w:p>
      <w:pPr>
        <w:pStyle w:val="25"/>
        <w:spacing w:line="360" w:lineRule="auto"/>
        <w:ind w:firstLine="420" w:firstLineChars="200"/>
        <w:rPr>
          <w:rFonts w:hAnsi="宋体"/>
          <w:szCs w:val="21"/>
        </w:rPr>
      </w:pPr>
      <w:r>
        <w:rPr>
          <w:rFonts w:hint="eastAsia" w:hAnsi="宋体"/>
          <w:szCs w:val="21"/>
        </w:rPr>
        <w:t>13.5 本合同正本一式</w:t>
      </w:r>
      <w:r>
        <w:rPr>
          <w:rFonts w:hint="eastAsia" w:hAnsi="宋体"/>
          <w:szCs w:val="21"/>
          <w:lang w:val="en-US" w:eastAsia="zh-CN"/>
        </w:rPr>
        <w:t>6</w:t>
      </w:r>
      <w:r>
        <w:rPr>
          <w:rFonts w:hint="eastAsia" w:hAnsi="宋体"/>
          <w:szCs w:val="21"/>
        </w:rPr>
        <w:t>份，具有同等法律效力。</w:t>
      </w:r>
    </w:p>
    <w:p>
      <w:pPr>
        <w:pStyle w:val="25"/>
        <w:spacing w:line="360" w:lineRule="auto"/>
        <w:ind w:firstLine="360"/>
        <w:rPr>
          <w:rFonts w:hAnsi="宋体"/>
          <w:szCs w:val="21"/>
        </w:rPr>
      </w:pPr>
    </w:p>
    <w:p>
      <w:pPr>
        <w:pStyle w:val="25"/>
        <w:spacing w:line="360" w:lineRule="auto"/>
        <w:rPr>
          <w:rFonts w:hAnsi="宋体"/>
          <w:szCs w:val="21"/>
        </w:rPr>
      </w:pPr>
    </w:p>
    <w:p>
      <w:pPr>
        <w:pStyle w:val="25"/>
        <w:spacing w:line="360" w:lineRule="auto"/>
        <w:rPr>
          <w:rFonts w:hAnsi="宋体"/>
          <w:szCs w:val="21"/>
          <w:u w:val="single"/>
        </w:rPr>
      </w:pPr>
      <w:r>
        <w:rPr>
          <w:rFonts w:hint="eastAsia" w:hAnsi="宋体"/>
          <w:szCs w:val="21"/>
        </w:rPr>
        <w:t>甲方：</w:t>
      </w:r>
      <w:r>
        <w:rPr>
          <w:rFonts w:hint="eastAsia" w:hAnsi="宋体"/>
          <w:szCs w:val="21"/>
          <w:u w:val="single"/>
        </w:rPr>
        <w:t xml:space="preserve">                             </w:t>
      </w:r>
      <w:r>
        <w:rPr>
          <w:rFonts w:hint="eastAsia" w:hAnsi="宋体"/>
          <w:szCs w:val="21"/>
        </w:rPr>
        <w:t xml:space="preserve">     乙方：</w:t>
      </w:r>
      <w:r>
        <w:rPr>
          <w:rFonts w:hint="eastAsia" w:hAnsi="宋体"/>
          <w:szCs w:val="21"/>
          <w:u w:val="single"/>
        </w:rPr>
        <w:t xml:space="preserve">                         </w:t>
      </w:r>
    </w:p>
    <w:p>
      <w:pPr>
        <w:pStyle w:val="25"/>
        <w:spacing w:line="360" w:lineRule="auto"/>
        <w:ind w:left="5460" w:hanging="5460" w:hangingChars="2600"/>
        <w:rPr>
          <w:rFonts w:hAnsi="宋体"/>
          <w:szCs w:val="21"/>
          <w:u w:val="single"/>
        </w:rPr>
      </w:pPr>
      <w:r>
        <w:rPr>
          <w:rFonts w:hint="eastAsia" w:hAnsi="宋体"/>
          <w:szCs w:val="21"/>
        </w:rPr>
        <w:t>地址：</w:t>
      </w:r>
      <w:r>
        <w:rPr>
          <w:rFonts w:hint="eastAsia" w:hAnsi="宋体"/>
          <w:szCs w:val="21"/>
          <w:u w:val="single"/>
        </w:rPr>
        <w:t xml:space="preserve">                              </w:t>
      </w:r>
      <w:r>
        <w:rPr>
          <w:rFonts w:hint="eastAsia" w:hAnsi="宋体"/>
          <w:szCs w:val="21"/>
        </w:rPr>
        <w:t xml:space="preserve">    地址：</w:t>
      </w:r>
      <w:r>
        <w:rPr>
          <w:rFonts w:hint="eastAsia" w:hAnsi="宋体"/>
          <w:szCs w:val="21"/>
          <w:u w:val="single"/>
        </w:rPr>
        <w:t xml:space="preserve">                        </w:t>
      </w:r>
      <w:r>
        <w:rPr>
          <w:rFonts w:hint="eastAsia" w:hAnsi="宋体"/>
          <w:szCs w:val="21"/>
        </w:rPr>
        <w:t xml:space="preserve">    </w:t>
      </w:r>
    </w:p>
    <w:p>
      <w:pPr>
        <w:pStyle w:val="25"/>
        <w:spacing w:line="360" w:lineRule="auto"/>
        <w:rPr>
          <w:rFonts w:hint="eastAsia" w:hAnsi="宋体"/>
          <w:szCs w:val="21"/>
        </w:rPr>
      </w:pPr>
      <w:r>
        <w:rPr>
          <w:rFonts w:hint="eastAsia" w:hAnsi="宋体"/>
          <w:szCs w:val="21"/>
        </w:rPr>
        <w:t>法定代表人：</w:t>
      </w:r>
      <w:r>
        <w:rPr>
          <w:rFonts w:hint="eastAsia" w:hAnsi="宋体"/>
          <w:szCs w:val="21"/>
          <w:u w:val="single"/>
        </w:rPr>
        <w:t xml:space="preserve">                        </w:t>
      </w:r>
      <w:r>
        <w:rPr>
          <w:rFonts w:hint="eastAsia" w:hAnsi="宋体"/>
          <w:szCs w:val="21"/>
        </w:rPr>
        <w:t xml:space="preserve">    法定代表人：</w:t>
      </w:r>
      <w:r>
        <w:rPr>
          <w:rFonts w:hint="eastAsia" w:hAnsi="宋体"/>
          <w:szCs w:val="21"/>
          <w:u w:val="single"/>
        </w:rPr>
        <w:t xml:space="preserve">                            </w:t>
      </w:r>
    </w:p>
    <w:p>
      <w:pPr>
        <w:pStyle w:val="25"/>
        <w:spacing w:line="360" w:lineRule="auto"/>
        <w:rPr>
          <w:rFonts w:hAnsi="宋体"/>
          <w:szCs w:val="21"/>
        </w:rPr>
      </w:pPr>
      <w:r>
        <w:rPr>
          <w:rFonts w:hint="eastAsia" w:hAnsi="宋体"/>
          <w:szCs w:val="21"/>
        </w:rPr>
        <w:t>委托代理人：</w:t>
      </w:r>
      <w:r>
        <w:rPr>
          <w:rFonts w:hint="eastAsia" w:hAnsi="宋体"/>
          <w:szCs w:val="21"/>
          <w:u w:val="single"/>
        </w:rPr>
        <w:t xml:space="preserve">                       </w:t>
      </w:r>
      <w:r>
        <w:rPr>
          <w:rFonts w:hint="eastAsia" w:hAnsi="宋体"/>
          <w:szCs w:val="21"/>
        </w:rPr>
        <w:t xml:space="preserve">     委托代理人：</w:t>
      </w:r>
      <w:r>
        <w:rPr>
          <w:rFonts w:hint="eastAsia" w:hAnsi="宋体"/>
          <w:szCs w:val="21"/>
          <w:u w:val="single"/>
        </w:rPr>
        <w:t xml:space="preserve">                              </w:t>
      </w:r>
    </w:p>
    <w:p>
      <w:pPr>
        <w:pStyle w:val="25"/>
        <w:spacing w:line="360" w:lineRule="auto"/>
        <w:rPr>
          <w:rFonts w:hAnsi="宋体"/>
          <w:szCs w:val="21"/>
        </w:rPr>
      </w:pPr>
      <w:r>
        <w:rPr>
          <w:rFonts w:hint="eastAsia" w:hAnsi="宋体"/>
          <w:szCs w:val="21"/>
        </w:rPr>
        <w:t xml:space="preserve">电话：   </w:t>
      </w:r>
      <w:r>
        <w:rPr>
          <w:rFonts w:hint="eastAsia" w:hAnsi="宋体"/>
          <w:szCs w:val="21"/>
          <w:u w:val="single"/>
        </w:rPr>
        <w:t xml:space="preserve">                          </w:t>
      </w:r>
      <w:r>
        <w:rPr>
          <w:rFonts w:hint="eastAsia" w:hAnsi="宋体"/>
          <w:szCs w:val="21"/>
        </w:rPr>
        <w:t xml:space="preserve">     电话：</w:t>
      </w:r>
      <w:r>
        <w:rPr>
          <w:rFonts w:hint="eastAsia" w:hAnsi="宋体"/>
          <w:szCs w:val="21"/>
          <w:u w:val="single"/>
        </w:rPr>
        <w:t xml:space="preserve">                                </w:t>
      </w:r>
      <w:r>
        <w:rPr>
          <w:rFonts w:hint="eastAsia" w:hAnsi="宋体"/>
          <w:szCs w:val="21"/>
        </w:rPr>
        <w:t xml:space="preserve">       </w:t>
      </w:r>
    </w:p>
    <w:p>
      <w:pPr>
        <w:pStyle w:val="25"/>
        <w:spacing w:line="360" w:lineRule="auto"/>
        <w:rPr>
          <w:rFonts w:hAnsi="宋体"/>
          <w:szCs w:val="21"/>
        </w:rPr>
      </w:pPr>
      <w:r>
        <w:rPr>
          <w:rFonts w:hint="eastAsia" w:hAnsi="宋体"/>
          <w:szCs w:val="21"/>
        </w:rPr>
        <w:t>传真：</w:t>
      </w:r>
      <w:r>
        <w:rPr>
          <w:rFonts w:hint="eastAsia" w:hAnsi="宋体"/>
          <w:szCs w:val="21"/>
          <w:u w:val="single"/>
        </w:rPr>
        <w:t xml:space="preserve">                              </w:t>
      </w:r>
      <w:r>
        <w:rPr>
          <w:rFonts w:hint="eastAsia" w:hAnsi="宋体"/>
          <w:szCs w:val="21"/>
        </w:rPr>
        <w:t xml:space="preserve">    传真：</w:t>
      </w:r>
      <w:r>
        <w:rPr>
          <w:rFonts w:hint="eastAsia" w:hAnsi="宋体"/>
          <w:szCs w:val="21"/>
          <w:u w:val="single"/>
        </w:rPr>
        <w:t xml:space="preserve">                                    </w:t>
      </w:r>
      <w:r>
        <w:rPr>
          <w:rFonts w:hint="eastAsia" w:hAnsi="宋体"/>
          <w:szCs w:val="21"/>
        </w:rPr>
        <w:t xml:space="preserve">    </w:t>
      </w:r>
    </w:p>
    <w:p>
      <w:pPr>
        <w:pStyle w:val="25"/>
        <w:spacing w:line="360" w:lineRule="auto"/>
        <w:rPr>
          <w:rFonts w:hAnsi="宋体"/>
          <w:szCs w:val="21"/>
          <w:u w:val="single"/>
        </w:rPr>
      </w:pPr>
      <w:r>
        <w:rPr>
          <w:rFonts w:hint="eastAsia" w:hAnsi="宋体"/>
          <w:szCs w:val="21"/>
        </w:rPr>
        <w:t>邮政编码：</w:t>
      </w:r>
      <w:r>
        <w:rPr>
          <w:rFonts w:hint="eastAsia" w:hAnsi="宋体"/>
          <w:szCs w:val="21"/>
          <w:u w:val="single"/>
        </w:rPr>
        <w:t xml:space="preserve">                          </w:t>
      </w:r>
      <w:r>
        <w:rPr>
          <w:rFonts w:hint="eastAsia" w:hAnsi="宋体"/>
          <w:szCs w:val="21"/>
        </w:rPr>
        <w:t xml:space="preserve">   邮政编码：</w:t>
      </w:r>
      <w:r>
        <w:rPr>
          <w:rFonts w:hint="eastAsia" w:hAnsi="宋体"/>
          <w:szCs w:val="21"/>
          <w:u w:val="single"/>
        </w:rPr>
        <w:t xml:space="preserve">                              </w:t>
      </w:r>
    </w:p>
    <w:p>
      <w:pPr>
        <w:pStyle w:val="25"/>
        <w:spacing w:line="360" w:lineRule="auto"/>
        <w:ind w:firstLine="4095" w:firstLineChars="1950"/>
        <w:rPr>
          <w:rFonts w:hAnsi="宋体"/>
          <w:szCs w:val="21"/>
        </w:rPr>
      </w:pPr>
      <w:r>
        <w:rPr>
          <w:rFonts w:hint="eastAsia" w:hAnsi="宋体"/>
          <w:szCs w:val="21"/>
        </w:rPr>
        <w:t>统一社会代码：</w:t>
      </w:r>
      <w:r>
        <w:rPr>
          <w:rFonts w:hint="eastAsia" w:hAnsi="宋体"/>
          <w:szCs w:val="21"/>
          <w:u w:val="single"/>
        </w:rPr>
        <w:t xml:space="preserve">                </w:t>
      </w:r>
    </w:p>
    <w:p>
      <w:pPr>
        <w:pStyle w:val="25"/>
        <w:spacing w:line="360" w:lineRule="auto"/>
        <w:rPr>
          <w:rFonts w:hAnsi="宋体"/>
          <w:szCs w:val="21"/>
          <w:u w:val="single"/>
        </w:rPr>
      </w:pPr>
      <w:r>
        <w:rPr>
          <w:rFonts w:hint="eastAsia" w:hAnsi="宋体"/>
          <w:szCs w:val="21"/>
        </w:rPr>
        <w:t xml:space="preserve">                                       开户银行：  </w:t>
      </w:r>
      <w:r>
        <w:rPr>
          <w:rFonts w:hint="eastAsia" w:hAnsi="宋体"/>
          <w:szCs w:val="21"/>
          <w:u w:val="single"/>
        </w:rPr>
        <w:t xml:space="preserve">                       </w:t>
      </w:r>
    </w:p>
    <w:p>
      <w:pPr>
        <w:pStyle w:val="25"/>
        <w:spacing w:line="360" w:lineRule="auto"/>
        <w:rPr>
          <w:rFonts w:hAnsi="宋体"/>
          <w:szCs w:val="21"/>
          <w:u w:val="single"/>
        </w:rPr>
      </w:pPr>
      <w:r>
        <w:rPr>
          <w:rFonts w:hint="eastAsia" w:hAnsi="宋体"/>
          <w:szCs w:val="21"/>
        </w:rPr>
        <w:t xml:space="preserve">                                       开户名称：</w:t>
      </w:r>
      <w:r>
        <w:rPr>
          <w:rFonts w:hint="eastAsia" w:hAnsi="宋体"/>
          <w:szCs w:val="21"/>
          <w:u w:val="single"/>
        </w:rPr>
        <w:t xml:space="preserve">    </w:t>
      </w:r>
      <w:r>
        <w:rPr>
          <w:rFonts w:hint="eastAsia" w:hAnsi="宋体"/>
          <w:szCs w:val="21"/>
        </w:rPr>
        <w:t xml:space="preserve">  </w:t>
      </w:r>
      <w:r>
        <w:rPr>
          <w:rFonts w:hint="eastAsia" w:hAnsi="宋体"/>
          <w:szCs w:val="21"/>
          <w:u w:val="single"/>
        </w:rPr>
        <w:t xml:space="preserve">                           </w:t>
      </w:r>
    </w:p>
    <w:p>
      <w:pPr>
        <w:pStyle w:val="25"/>
        <w:spacing w:line="360" w:lineRule="auto"/>
        <w:rPr>
          <w:rFonts w:hAnsi="宋体"/>
          <w:szCs w:val="21"/>
          <w:u w:val="single"/>
        </w:rPr>
      </w:pPr>
      <w:r>
        <w:rPr>
          <w:rFonts w:hint="eastAsia" w:hAnsi="宋体"/>
          <w:szCs w:val="21"/>
        </w:rPr>
        <w:t xml:space="preserve">                                       银行账号：</w:t>
      </w:r>
      <w:r>
        <w:rPr>
          <w:rFonts w:hint="eastAsia" w:hAnsi="宋体"/>
          <w:szCs w:val="21"/>
          <w:u w:val="single"/>
        </w:rPr>
        <w:t xml:space="preserve">                             </w:t>
      </w:r>
    </w:p>
    <w:p>
      <w:pPr>
        <w:pStyle w:val="25"/>
        <w:spacing w:line="360" w:lineRule="auto"/>
        <w:rPr>
          <w:rFonts w:hAnsi="宋体"/>
          <w:szCs w:val="21"/>
        </w:rPr>
      </w:pPr>
    </w:p>
    <w:p>
      <w:pPr>
        <w:pStyle w:val="25"/>
        <w:spacing w:line="360" w:lineRule="auto"/>
        <w:rPr>
          <w:rFonts w:hint="eastAsia" w:hAnsi="宋体"/>
          <w:szCs w:val="21"/>
        </w:rPr>
      </w:pPr>
      <w:r>
        <w:rPr>
          <w:rFonts w:hint="eastAsia" w:hAnsi="宋体"/>
          <w:szCs w:val="21"/>
        </w:rPr>
        <w:t>合同签订地点：广西南宁</w:t>
      </w:r>
    </w:p>
    <w:p>
      <w:pPr>
        <w:pStyle w:val="25"/>
        <w:spacing w:line="360" w:lineRule="auto"/>
        <w:rPr>
          <w:rFonts w:hAnsi="宋体"/>
          <w:sz w:val="24"/>
          <w:szCs w:val="24"/>
        </w:rPr>
      </w:pPr>
      <w:r>
        <w:rPr>
          <w:rFonts w:hint="eastAsia" w:hAnsi="宋体"/>
          <w:szCs w:val="21"/>
        </w:rPr>
        <w:t>合同签订日期：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jc w:val="center"/>
      </w:pPr>
    </w:p>
    <w:sectPr>
      <w:headerReference r:id="rId7" w:type="first"/>
      <w:footerReference r:id="rId8" w:type="first"/>
      <w:pgSz w:w="11906" w:h="16838"/>
      <w:pgMar w:top="1418" w:right="1418" w:bottom="1418" w:left="170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MingLiU_HKSCS">
    <w:panose1 w:val="02020500000000000000"/>
    <w:charset w:val="88"/>
    <w:family w:val="roman"/>
    <w:pitch w:val="default"/>
    <w:sig w:usb0="A00002FF" w:usb1="38CFFCFA" w:usb2="00000016" w:usb3="00000000" w:csb0="001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2</w:t>
    </w:r>
    <w:r>
      <w:rPr>
        <w:rStyle w:val="53"/>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default" w:eastAsia="宋体"/>
        <w:b w:val="0"/>
        <w:bCs/>
        <w:sz w:val="18"/>
        <w:szCs w:val="18"/>
        <w:lang w:val="en-US" w:eastAsia="zh-CN"/>
      </w:rPr>
    </w:pPr>
    <w:r>
      <w:rPr>
        <w:rFonts w:hint="eastAsia" w:ascii="宋体" w:hAnsi="宋体"/>
        <w:b w:val="0"/>
        <w:bCs/>
        <w:sz w:val="18"/>
        <w:szCs w:val="18"/>
        <w:lang w:eastAsia="zh-CN"/>
      </w:rPr>
      <w:t>除“四害”综合治理</w:t>
    </w:r>
    <w:r>
      <w:rPr>
        <w:rFonts w:hint="eastAsia" w:ascii="宋体" w:hAnsi="宋体"/>
        <w:b w:val="0"/>
        <w:bCs/>
        <w:sz w:val="18"/>
        <w:szCs w:val="18"/>
      </w:rPr>
      <w:t>服务采购</w:t>
    </w:r>
    <w:r>
      <w:rPr>
        <w:rFonts w:hint="eastAsia" w:ascii="宋体" w:hAnsi="宋体"/>
        <w:b w:val="0"/>
        <w:bCs/>
        <w:sz w:val="18"/>
        <w:szCs w:val="18"/>
        <w:lang w:val="en-US" w:eastAsia="zh-CN"/>
      </w:rPr>
      <w:t>GIEG2019YY-FWCG-0001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06818643"/>
    <w:multiLevelType w:val="singleLevel"/>
    <w:tmpl w:val="06818643"/>
    <w:lvl w:ilvl="0" w:tentative="0">
      <w:start w:val="1"/>
      <w:numFmt w:val="chineseCounting"/>
      <w:suff w:val="nothing"/>
      <w:lvlText w:val="%1、"/>
      <w:lvlJc w:val="left"/>
      <w:rPr>
        <w:rFonts w:hint="eastAsia"/>
      </w:rPr>
    </w:lvl>
  </w:abstractNum>
  <w:abstractNum w:abstractNumId="2">
    <w:nsid w:val="076C7C35"/>
    <w:multiLevelType w:val="multilevel"/>
    <w:tmpl w:val="076C7C35"/>
    <w:lvl w:ilvl="0" w:tentative="0">
      <w:start w:val="1"/>
      <w:numFmt w:val="decimal"/>
      <w:pStyle w:val="12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70541F2"/>
    <w:multiLevelType w:val="multilevel"/>
    <w:tmpl w:val="170541F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D416A9"/>
    <w:multiLevelType w:val="multilevel"/>
    <w:tmpl w:val="19D416A9"/>
    <w:lvl w:ilvl="0" w:tentative="0">
      <w:start w:val="1"/>
      <w:numFmt w:val="japaneseCounting"/>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4F886337"/>
    <w:multiLevelType w:val="multilevel"/>
    <w:tmpl w:val="4F886337"/>
    <w:lvl w:ilvl="0" w:tentative="0">
      <w:start w:val="1"/>
      <w:numFmt w:val="decimal"/>
      <w:pStyle w:val="13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4FF1187F"/>
    <w:multiLevelType w:val="multilevel"/>
    <w:tmpl w:val="4FF1187F"/>
    <w:lvl w:ilvl="0" w:tentative="0">
      <w:start w:val="1"/>
      <w:numFmt w:val="decimal"/>
      <w:pStyle w:val="13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53016673"/>
    <w:multiLevelType w:val="singleLevel"/>
    <w:tmpl w:val="53016673"/>
    <w:lvl w:ilvl="0" w:tentative="0">
      <w:start w:val="4"/>
      <w:numFmt w:val="decimal"/>
      <w:suff w:val="nothing"/>
      <w:lvlText w:val="%1."/>
      <w:lvlJc w:val="left"/>
      <w:rPr>
        <w:rFonts w:cs="Times New Roman"/>
      </w:rPr>
    </w:lvl>
  </w:abstractNum>
  <w:abstractNum w:abstractNumId="9">
    <w:nsid w:val="56E83EA1"/>
    <w:multiLevelType w:val="multilevel"/>
    <w:tmpl w:val="56E83EA1"/>
    <w:lvl w:ilvl="0" w:tentative="0">
      <w:start w:val="1"/>
      <w:numFmt w:val="decimal"/>
      <w:pStyle w:val="13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0"/>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4175"/>
    <w:rsid w:val="00D76308"/>
    <w:rsid w:val="00D76575"/>
    <w:rsid w:val="00D768CE"/>
    <w:rsid w:val="00D778FE"/>
    <w:rsid w:val="00D809CC"/>
    <w:rsid w:val="00D80DF3"/>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EA43777"/>
    <w:rsid w:val="0EBD512F"/>
    <w:rsid w:val="0F4D436E"/>
    <w:rsid w:val="155147DA"/>
    <w:rsid w:val="26BB17DD"/>
    <w:rsid w:val="28A9214D"/>
    <w:rsid w:val="2F95143C"/>
    <w:rsid w:val="33C25A52"/>
    <w:rsid w:val="360473EF"/>
    <w:rsid w:val="379F30FB"/>
    <w:rsid w:val="38E23927"/>
    <w:rsid w:val="3B0770D0"/>
    <w:rsid w:val="404658BE"/>
    <w:rsid w:val="454019AA"/>
    <w:rsid w:val="4F0A3A0B"/>
    <w:rsid w:val="4F5D2333"/>
    <w:rsid w:val="5164644D"/>
    <w:rsid w:val="5EFF280F"/>
    <w:rsid w:val="5F2E2C6D"/>
    <w:rsid w:val="69A505D7"/>
    <w:rsid w:val="6A267E1A"/>
    <w:rsid w:val="6FAD5441"/>
    <w:rsid w:val="70165E6F"/>
    <w:rsid w:val="71297F0A"/>
    <w:rsid w:val="75A6206C"/>
    <w:rsid w:val="76023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11"/>
        <o:r id="V:Rule2" type="connector" idref="#自选图形 13"/>
        <o:r id="V:Rule3" type="connector" idref="#自选图形 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60"/>
    <w:qFormat/>
    <w:uiPriority w:val="0"/>
    <w:pPr>
      <w:ind w:firstLine="420"/>
    </w:pPr>
    <w:rPr>
      <w:rFonts w:ascii="Calibri" w:hAnsi="Calibri"/>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0"/>
    <w:qFormat/>
    <w:uiPriority w:val="0"/>
    <w:pPr>
      <w:jc w:val="left"/>
    </w:pPr>
  </w:style>
  <w:style w:type="paragraph" w:styleId="18">
    <w:name w:val="Body Text 3"/>
    <w:basedOn w:val="1"/>
    <w:link w:val="77"/>
    <w:qFormat/>
    <w:uiPriority w:val="0"/>
    <w:pPr>
      <w:spacing w:line="500" w:lineRule="exact"/>
    </w:pPr>
    <w:rPr>
      <w:b/>
      <w:bCs/>
      <w:sz w:val="24"/>
    </w:rPr>
  </w:style>
  <w:style w:type="paragraph" w:styleId="19">
    <w:name w:val="Body Text"/>
    <w:basedOn w:val="1"/>
    <w:link w:val="71"/>
    <w:unhideWhenUsed/>
    <w:qFormat/>
    <w:uiPriority w:val="99"/>
    <w:pPr>
      <w:spacing w:after="120"/>
    </w:pPr>
  </w:style>
  <w:style w:type="paragraph" w:styleId="20">
    <w:name w:val="Body Text Indent"/>
    <w:basedOn w:val="1"/>
    <w:link w:val="69"/>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unhideWhenUsed/>
    <w:qFormat/>
    <w:uiPriority w:val="0"/>
    <w:pPr>
      <w:ind w:left="840" w:leftChars="400"/>
    </w:pPr>
    <w:rPr>
      <w:rFonts w:ascii="Calibri" w:hAnsi="Calibri"/>
      <w:szCs w:val="22"/>
    </w:rPr>
  </w:style>
  <w:style w:type="paragraph" w:styleId="25">
    <w:name w:val="Plain Text"/>
    <w:basedOn w:val="1"/>
    <w:link w:val="68"/>
    <w:qFormat/>
    <w:uiPriority w:val="0"/>
    <w:rPr>
      <w:rFonts w:ascii="宋体" w:hAnsi="Courier New" w:cs="Courier New"/>
      <w:szCs w:val="21"/>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Date"/>
    <w:basedOn w:val="1"/>
    <w:next w:val="1"/>
    <w:link w:val="72"/>
    <w:semiHidden/>
    <w:unhideWhenUsed/>
    <w:qFormat/>
    <w:uiPriority w:val="99"/>
    <w:pPr>
      <w:ind w:left="100" w:leftChars="2500"/>
    </w:pPr>
  </w:style>
  <w:style w:type="paragraph" w:styleId="28">
    <w:name w:val="Body Text Indent 2"/>
    <w:basedOn w:val="1"/>
    <w:link w:val="75"/>
    <w:qFormat/>
    <w:uiPriority w:val="0"/>
    <w:pPr>
      <w:ind w:firstLine="630"/>
    </w:pPr>
    <w:rPr>
      <w:sz w:val="32"/>
      <w:szCs w:val="20"/>
    </w:rPr>
  </w:style>
  <w:style w:type="paragraph" w:styleId="29">
    <w:name w:val="endnote text"/>
    <w:basedOn w:val="1"/>
    <w:semiHidden/>
    <w:unhideWhenUsed/>
    <w:qFormat/>
    <w:uiPriority w:val="0"/>
    <w:pPr>
      <w:snapToGrid w:val="0"/>
      <w:jc w:val="left"/>
    </w:pPr>
  </w:style>
  <w:style w:type="paragraph" w:styleId="30">
    <w:name w:val="Balloon Text"/>
    <w:basedOn w:val="1"/>
    <w:semiHidden/>
    <w:qFormat/>
    <w:uiPriority w:val="0"/>
    <w:rPr>
      <w:sz w:val="18"/>
      <w:szCs w:val="18"/>
    </w:rPr>
  </w:style>
  <w:style w:type="paragraph" w:styleId="31">
    <w:name w:val="footer"/>
    <w:basedOn w:val="1"/>
    <w:link w:val="67"/>
    <w:unhideWhenUsed/>
    <w:qFormat/>
    <w:uiPriority w:val="99"/>
    <w:pPr>
      <w:tabs>
        <w:tab w:val="center" w:pos="4153"/>
        <w:tab w:val="right" w:pos="8306"/>
      </w:tabs>
      <w:snapToGrid w:val="0"/>
      <w:jc w:val="left"/>
    </w:pPr>
    <w:rPr>
      <w:sz w:val="18"/>
      <w:szCs w:val="18"/>
    </w:rPr>
  </w:style>
  <w:style w:type="paragraph" w:styleId="32">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semiHidden/>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74"/>
    <w:qFormat/>
    <w:uiPriority w:val="0"/>
    <w:pPr>
      <w:spacing w:after="120"/>
      <w:ind w:left="420" w:leftChars="200"/>
    </w:pPr>
    <w:rPr>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76"/>
    <w:qFormat/>
    <w:uiPriority w:val="0"/>
    <w:pPr>
      <w:spacing w:after="120" w:line="480" w:lineRule="auto"/>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7"/>
    <w:next w:val="17"/>
    <w:semiHidden/>
    <w:qFormat/>
    <w:uiPriority w:val="0"/>
    <w:rPr>
      <w:b/>
      <w:bCs/>
    </w:rPr>
  </w:style>
  <w:style w:type="paragraph" w:styleId="48">
    <w:name w:val="Body Text First Indent"/>
    <w:basedOn w:val="19"/>
    <w:link w:val="94"/>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character" w:customStyle="1" w:styleId="56">
    <w:name w:val="标题 1 Char"/>
    <w:link w:val="2"/>
    <w:qFormat/>
    <w:uiPriority w:val="0"/>
    <w:rPr>
      <w:rFonts w:eastAsia="宋体"/>
      <w:b/>
      <w:bCs/>
      <w:kern w:val="44"/>
      <w:sz w:val="44"/>
      <w:szCs w:val="44"/>
      <w:lang w:val="en-US" w:eastAsia="zh-CN" w:bidi="ar-SA"/>
    </w:rPr>
  </w:style>
  <w:style w:type="character" w:customStyle="1" w:styleId="57">
    <w:name w:val="标题 2 Char1"/>
    <w:link w:val="3"/>
    <w:qFormat/>
    <w:uiPriority w:val="9"/>
    <w:rPr>
      <w:rFonts w:ascii="Cambria" w:hAnsi="Cambria" w:eastAsia="宋体" w:cs="Times New Roman"/>
      <w:b/>
      <w:bCs/>
      <w:kern w:val="2"/>
      <w:sz w:val="32"/>
      <w:szCs w:val="32"/>
    </w:rPr>
  </w:style>
  <w:style w:type="character" w:customStyle="1" w:styleId="58">
    <w:name w:val="标题 3 Char"/>
    <w:link w:val="4"/>
    <w:qFormat/>
    <w:uiPriority w:val="0"/>
    <w:rPr>
      <w:rFonts w:eastAsia="宋体"/>
      <w:b/>
      <w:bCs/>
      <w:kern w:val="2"/>
      <w:sz w:val="32"/>
      <w:szCs w:val="32"/>
      <w:lang w:val="en-US" w:eastAsia="zh-CN" w:bidi="ar-SA"/>
    </w:rPr>
  </w:style>
  <w:style w:type="character" w:customStyle="1" w:styleId="59">
    <w:name w:val="标题 4 Char"/>
    <w:link w:val="5"/>
    <w:qFormat/>
    <w:uiPriority w:val="0"/>
    <w:rPr>
      <w:rFonts w:ascii="Arial" w:hAnsi="Arial" w:eastAsia="黑体"/>
      <w:b/>
      <w:bCs/>
      <w:kern w:val="2"/>
      <w:sz w:val="28"/>
      <w:szCs w:val="28"/>
      <w:lang w:val="en-US" w:eastAsia="zh-CN" w:bidi="ar-SA"/>
    </w:rPr>
  </w:style>
  <w:style w:type="character" w:customStyle="1" w:styleId="60">
    <w:name w:val="正文缩进 Char1"/>
    <w:link w:val="7"/>
    <w:qFormat/>
    <w:uiPriority w:val="0"/>
    <w:rPr>
      <w:rFonts w:eastAsia="宋体"/>
      <w:kern w:val="2"/>
      <w:sz w:val="21"/>
      <w:lang w:val="en-US" w:eastAsia="zh-CN" w:bidi="ar-SA"/>
    </w:rPr>
  </w:style>
  <w:style w:type="character" w:customStyle="1" w:styleId="61">
    <w:name w:val="标题 5 Char"/>
    <w:link w:val="6"/>
    <w:qFormat/>
    <w:uiPriority w:val="0"/>
    <w:rPr>
      <w:rFonts w:eastAsia="宋体"/>
      <w:b/>
      <w:kern w:val="2"/>
      <w:sz w:val="28"/>
      <w:szCs w:val="24"/>
      <w:lang w:val="en-US" w:eastAsia="zh-CN" w:bidi="ar-SA"/>
    </w:rPr>
  </w:style>
  <w:style w:type="character" w:customStyle="1" w:styleId="62">
    <w:name w:val="标题 6 Char"/>
    <w:link w:val="8"/>
    <w:qFormat/>
    <w:uiPriority w:val="0"/>
    <w:rPr>
      <w:rFonts w:ascii="Arial" w:hAnsi="Arial" w:eastAsia="黑体"/>
      <w:b/>
      <w:kern w:val="2"/>
      <w:sz w:val="24"/>
      <w:szCs w:val="24"/>
      <w:lang w:val="en-US" w:eastAsia="zh-CN" w:bidi="ar-SA"/>
    </w:rPr>
  </w:style>
  <w:style w:type="character" w:customStyle="1" w:styleId="63">
    <w:name w:val="标题 7 Char"/>
    <w:link w:val="9"/>
    <w:qFormat/>
    <w:uiPriority w:val="0"/>
    <w:rPr>
      <w:rFonts w:eastAsia="宋体"/>
      <w:b/>
      <w:kern w:val="2"/>
      <w:sz w:val="24"/>
      <w:szCs w:val="24"/>
      <w:lang w:val="en-US" w:eastAsia="zh-CN" w:bidi="ar-SA"/>
    </w:rPr>
  </w:style>
  <w:style w:type="character" w:customStyle="1" w:styleId="64">
    <w:name w:val="标题 8 Char"/>
    <w:link w:val="10"/>
    <w:qFormat/>
    <w:uiPriority w:val="0"/>
    <w:rPr>
      <w:rFonts w:ascii="Arial" w:hAnsi="Arial" w:eastAsia="黑体"/>
      <w:kern w:val="2"/>
      <w:sz w:val="24"/>
      <w:szCs w:val="24"/>
      <w:lang w:val="en-US" w:eastAsia="zh-CN" w:bidi="ar-SA"/>
    </w:rPr>
  </w:style>
  <w:style w:type="character" w:customStyle="1" w:styleId="65">
    <w:name w:val="标题 9 Char"/>
    <w:link w:val="11"/>
    <w:qFormat/>
    <w:uiPriority w:val="0"/>
    <w:rPr>
      <w:rFonts w:ascii="Arial" w:hAnsi="Arial" w:eastAsia="黑体"/>
      <w:kern w:val="2"/>
      <w:sz w:val="21"/>
      <w:szCs w:val="24"/>
      <w:lang w:val="en-US" w:eastAsia="zh-CN" w:bidi="ar-SA"/>
    </w:rPr>
  </w:style>
  <w:style w:type="character" w:customStyle="1" w:styleId="66">
    <w:name w:val="页眉 Char"/>
    <w:link w:val="32"/>
    <w:qFormat/>
    <w:uiPriority w:val="99"/>
    <w:rPr>
      <w:sz w:val="18"/>
      <w:szCs w:val="18"/>
    </w:rPr>
  </w:style>
  <w:style w:type="character" w:customStyle="1" w:styleId="67">
    <w:name w:val="页脚 Char"/>
    <w:link w:val="31"/>
    <w:qFormat/>
    <w:uiPriority w:val="99"/>
    <w:rPr>
      <w:sz w:val="18"/>
      <w:szCs w:val="18"/>
    </w:rPr>
  </w:style>
  <w:style w:type="character" w:customStyle="1" w:styleId="68">
    <w:name w:val="纯文本 Char1"/>
    <w:link w:val="25"/>
    <w:qFormat/>
    <w:uiPriority w:val="0"/>
    <w:rPr>
      <w:rFonts w:ascii="宋体" w:hAnsi="Courier New" w:eastAsia="宋体" w:cs="Courier New"/>
      <w:szCs w:val="21"/>
    </w:rPr>
  </w:style>
  <w:style w:type="character" w:customStyle="1" w:styleId="69">
    <w:name w:val="正文文本缩进 Char"/>
    <w:link w:val="20"/>
    <w:qFormat/>
    <w:uiPriority w:val="0"/>
    <w:rPr>
      <w:rFonts w:ascii="仿宋_GB2312" w:hAnsi="Times New Roman" w:eastAsia="仿宋_GB2312" w:cs="Times New Roman"/>
      <w:sz w:val="32"/>
      <w:szCs w:val="20"/>
    </w:rPr>
  </w:style>
  <w:style w:type="character" w:customStyle="1" w:styleId="70">
    <w:name w:val="批注文字 Char"/>
    <w:link w:val="17"/>
    <w:qFormat/>
    <w:uiPriority w:val="0"/>
    <w:rPr>
      <w:rFonts w:ascii="Times New Roman" w:hAnsi="Times New Roman"/>
      <w:kern w:val="2"/>
      <w:sz w:val="21"/>
      <w:szCs w:val="24"/>
    </w:rPr>
  </w:style>
  <w:style w:type="character" w:customStyle="1" w:styleId="71">
    <w:name w:val="正文文本 Char"/>
    <w:link w:val="19"/>
    <w:qFormat/>
    <w:uiPriority w:val="99"/>
    <w:rPr>
      <w:rFonts w:ascii="Times New Roman" w:hAnsi="Times New Roman"/>
      <w:kern w:val="2"/>
      <w:sz w:val="21"/>
      <w:szCs w:val="24"/>
    </w:rPr>
  </w:style>
  <w:style w:type="character" w:customStyle="1" w:styleId="72">
    <w:name w:val="日期 Char"/>
    <w:link w:val="27"/>
    <w:semiHidden/>
    <w:qFormat/>
    <w:uiPriority w:val="99"/>
    <w:rPr>
      <w:rFonts w:ascii="Times New Roman" w:hAnsi="Times New Roman"/>
      <w:kern w:val="2"/>
      <w:sz w:val="21"/>
      <w:szCs w:val="24"/>
    </w:rPr>
  </w:style>
  <w:style w:type="character" w:customStyle="1" w:styleId="73">
    <w:name w:val="apple-style-span"/>
    <w:basedOn w:val="51"/>
    <w:qFormat/>
    <w:uiPriority w:val="0"/>
  </w:style>
  <w:style w:type="character" w:customStyle="1" w:styleId="74">
    <w:name w:val="正文文本缩进 3 Char"/>
    <w:link w:val="40"/>
    <w:qFormat/>
    <w:uiPriority w:val="0"/>
    <w:rPr>
      <w:rFonts w:eastAsia="宋体"/>
      <w:kern w:val="2"/>
      <w:sz w:val="16"/>
      <w:szCs w:val="16"/>
      <w:lang w:val="en-US" w:eastAsia="zh-CN" w:bidi="ar-SA"/>
    </w:rPr>
  </w:style>
  <w:style w:type="character" w:customStyle="1" w:styleId="75">
    <w:name w:val="正文文本缩进 2 Char"/>
    <w:link w:val="28"/>
    <w:qFormat/>
    <w:uiPriority w:val="0"/>
    <w:rPr>
      <w:rFonts w:eastAsia="宋体"/>
      <w:kern w:val="2"/>
      <w:sz w:val="32"/>
      <w:lang w:val="en-US" w:eastAsia="zh-CN" w:bidi="ar-SA"/>
    </w:rPr>
  </w:style>
  <w:style w:type="character" w:customStyle="1" w:styleId="76">
    <w:name w:val="正文文本 2 Char"/>
    <w:link w:val="43"/>
    <w:qFormat/>
    <w:uiPriority w:val="0"/>
    <w:rPr>
      <w:rFonts w:eastAsia="宋体"/>
      <w:kern w:val="2"/>
      <w:sz w:val="21"/>
      <w:szCs w:val="24"/>
      <w:lang w:val="en-US" w:eastAsia="zh-CN" w:bidi="ar-SA"/>
    </w:rPr>
  </w:style>
  <w:style w:type="character" w:customStyle="1" w:styleId="77">
    <w:name w:val="正文文本 3 Char"/>
    <w:link w:val="18"/>
    <w:qFormat/>
    <w:uiPriority w:val="0"/>
    <w:rPr>
      <w:rFonts w:eastAsia="宋体"/>
      <w:b/>
      <w:bCs/>
      <w:kern w:val="2"/>
      <w:sz w:val="24"/>
      <w:szCs w:val="24"/>
      <w:lang w:val="en-US" w:eastAsia="zh-CN" w:bidi="ar-SA"/>
    </w:rPr>
  </w:style>
  <w:style w:type="paragraph" w:customStyle="1" w:styleId="78">
    <w:name w:val="样式 首行缩进:  2 字符"/>
    <w:basedOn w:val="1"/>
    <w:qFormat/>
    <w:uiPriority w:val="0"/>
    <w:pPr>
      <w:spacing w:line="400" w:lineRule="exact"/>
      <w:ind w:firstLine="200" w:firstLineChars="200"/>
    </w:pPr>
    <w:rPr>
      <w:rFonts w:cs="宋体"/>
      <w:sz w:val="24"/>
    </w:rPr>
  </w:style>
  <w:style w:type="paragraph" w:styleId="79">
    <w:name w:val="List Paragraph"/>
    <w:basedOn w:val="1"/>
    <w:qFormat/>
    <w:uiPriority w:val="0"/>
    <w:pPr>
      <w:ind w:firstLine="420" w:firstLineChars="200"/>
    </w:p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apple-converted-space"/>
    <w:basedOn w:val="51"/>
    <w:qFormat/>
    <w:uiPriority w:val="0"/>
  </w:style>
  <w:style w:type="character" w:customStyle="1" w:styleId="82">
    <w:name w:val="普通文字 Char Char2"/>
    <w:qFormat/>
    <w:uiPriority w:val="0"/>
    <w:rPr>
      <w:rFonts w:ascii="宋体" w:hAnsi="Courier New" w:eastAsia="宋体"/>
      <w:kern w:val="2"/>
      <w:sz w:val="21"/>
      <w:lang w:val="en-US" w:eastAsia="zh-CN" w:bidi="ar-SA"/>
    </w:rPr>
  </w:style>
  <w:style w:type="paragraph" w:customStyle="1" w:styleId="83">
    <w:name w:val="正文首行缩进两字符"/>
    <w:basedOn w:val="1"/>
    <w:qFormat/>
    <w:uiPriority w:val="0"/>
    <w:pPr>
      <w:spacing w:line="360" w:lineRule="auto"/>
      <w:ind w:firstLine="20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Char1"/>
    <w:basedOn w:val="1"/>
    <w:qFormat/>
    <w:uiPriority w:val="0"/>
    <w:rPr>
      <w:szCs w:val="21"/>
    </w:rPr>
  </w:style>
  <w:style w:type="paragraph" w:customStyle="1" w:styleId="87">
    <w:name w:val="表格"/>
    <w:basedOn w:val="1"/>
    <w:qFormat/>
    <w:uiPriority w:val="0"/>
    <w:pPr>
      <w:spacing w:line="400" w:lineRule="exact"/>
    </w:pPr>
    <w:rPr>
      <w:sz w:val="24"/>
    </w:rPr>
  </w:style>
  <w:style w:type="paragraph" w:customStyle="1" w:styleId="8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3">
    <w:name w:val="Char"/>
    <w:basedOn w:val="16"/>
    <w:semiHidden/>
    <w:qFormat/>
    <w:uiPriority w:val="0"/>
    <w:rPr>
      <w:rFonts w:ascii="Tahoma" w:hAnsi="Tahoma" w:cs="Tahoma"/>
      <w:kern w:val="0"/>
      <w:sz w:val="18"/>
    </w:rPr>
  </w:style>
  <w:style w:type="character" w:customStyle="1" w:styleId="94">
    <w:name w:val="正文首行缩进 Char"/>
    <w:link w:val="48"/>
    <w:qFormat/>
    <w:uiPriority w:val="0"/>
    <w:rPr>
      <w:rFonts w:ascii="宋体" w:hAnsi="Courier New" w:eastAsia="宋体" w:cs="Courier New"/>
      <w:szCs w:val="21"/>
    </w:rPr>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Char Char18"/>
    <w:qFormat/>
    <w:uiPriority w:val="0"/>
    <w:rPr>
      <w:rFonts w:ascii="Calibri" w:hAnsi="Calibri" w:eastAsia="宋体" w:cs="Times New Roman"/>
      <w:b/>
      <w:bCs/>
      <w:sz w:val="28"/>
      <w:szCs w:val="28"/>
    </w:rPr>
  </w:style>
  <w:style w:type="character" w:customStyle="1" w:styleId="97">
    <w:name w:val="Char Char17"/>
    <w:qFormat/>
    <w:uiPriority w:val="0"/>
    <w:rPr>
      <w:rFonts w:ascii="Cambria" w:hAnsi="Cambria" w:eastAsia="宋体" w:cs="Times New Roman"/>
      <w:b/>
      <w:bCs/>
      <w:sz w:val="24"/>
      <w:szCs w:val="24"/>
    </w:rPr>
  </w:style>
  <w:style w:type="character" w:customStyle="1" w:styleId="98">
    <w:name w:val="Char Char16"/>
    <w:qFormat/>
    <w:uiPriority w:val="0"/>
    <w:rPr>
      <w:rFonts w:ascii="Calibri" w:hAnsi="Calibri" w:eastAsia="宋体" w:cs="Times New Roman"/>
      <w:b/>
      <w:bCs/>
      <w:sz w:val="24"/>
      <w:szCs w:val="24"/>
    </w:rPr>
  </w:style>
  <w:style w:type="character" w:customStyle="1" w:styleId="99">
    <w:name w:val="Char Char15"/>
    <w:qFormat/>
    <w:uiPriority w:val="0"/>
    <w:rPr>
      <w:rFonts w:ascii="Cambria" w:hAnsi="Cambria" w:eastAsia="宋体" w:cs="Times New Roman"/>
      <w:sz w:val="24"/>
      <w:szCs w:val="24"/>
    </w:rPr>
  </w:style>
  <w:style w:type="character" w:customStyle="1" w:styleId="100">
    <w:name w:val="Char Char14"/>
    <w:qFormat/>
    <w:uiPriority w:val="0"/>
    <w:rPr>
      <w:rFonts w:ascii="Cambria" w:hAnsi="Cambria" w:eastAsia="宋体" w:cs="Times New Roman"/>
      <w:sz w:val="21"/>
      <w:szCs w:val="21"/>
    </w:rPr>
  </w:style>
  <w:style w:type="character" w:customStyle="1" w:styleId="101">
    <w:name w:val="Char Char13"/>
    <w:qFormat/>
    <w:uiPriority w:val="0"/>
    <w:rPr>
      <w:rFonts w:ascii="Times New Roman" w:hAnsi="Times New Roman" w:eastAsia="宋体" w:cs="Times New Roman"/>
      <w:kern w:val="2"/>
      <w:sz w:val="18"/>
      <w:szCs w:val="18"/>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Char Char12"/>
    <w:qFormat/>
    <w:uiPriority w:val="0"/>
    <w:rPr>
      <w:rFonts w:ascii="Times New Roman" w:hAnsi="Times New Roman" w:eastAsia="宋体" w:cs="Times New Roman"/>
      <w:kern w:val="2"/>
      <w:sz w:val="18"/>
      <w:szCs w:val="18"/>
    </w:rPr>
  </w:style>
  <w:style w:type="paragraph" w:customStyle="1" w:styleId="10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5">
    <w:name w:val="默认段落字体 Para Char"/>
    <w:basedOn w:val="1"/>
    <w:qFormat/>
    <w:uiPriority w:val="0"/>
    <w:rPr>
      <w:rFonts w:ascii="宋体" w:hAnsi="宋体"/>
      <w:b/>
      <w:sz w:val="28"/>
      <w:szCs w:val="28"/>
    </w:rPr>
  </w:style>
  <w:style w:type="paragraph" w:customStyle="1" w:styleId="1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7">
    <w:name w:val="表格文字"/>
    <w:basedOn w:val="1"/>
    <w:qFormat/>
    <w:uiPriority w:val="0"/>
    <w:pPr>
      <w:spacing w:before="25" w:after="25"/>
      <w:jc w:val="left"/>
    </w:pPr>
    <w:rPr>
      <w:bCs/>
      <w:spacing w:val="10"/>
      <w:kern w:val="0"/>
      <w:sz w:val="24"/>
      <w:szCs w:val="20"/>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9">
    <w:name w:val="题注5"/>
    <w:basedOn w:val="1"/>
    <w:next w:val="15"/>
    <w:qFormat/>
    <w:uiPriority w:val="0"/>
    <w:pPr>
      <w:jc w:val="center"/>
    </w:pPr>
    <w:rPr>
      <w:b/>
      <w:color w:val="000000"/>
      <w:sz w:val="24"/>
      <w:szCs w:val="21"/>
    </w:rPr>
  </w:style>
  <w:style w:type="paragraph" w:customStyle="1" w:styleId="110">
    <w:name w:val="Char Char Char Char Char Char Char"/>
    <w:basedOn w:val="1"/>
    <w:qFormat/>
    <w:uiPriority w:val="0"/>
    <w:pPr>
      <w:tabs>
        <w:tab w:val="left" w:pos="425"/>
      </w:tabs>
      <w:ind w:left="425" w:hanging="425"/>
    </w:pPr>
    <w:rPr>
      <w:rFonts w:eastAsia="仿宋_GB2312"/>
      <w:kern w:val="24"/>
      <w:sz w:val="24"/>
    </w:rPr>
  </w:style>
  <w:style w:type="character" w:customStyle="1" w:styleId="111">
    <w:name w:val="Char Char11"/>
    <w:qFormat/>
    <w:uiPriority w:val="0"/>
    <w:rPr>
      <w:rFonts w:ascii="Times New Roman" w:hAnsi="Times New Roman" w:eastAsia="宋体" w:cs="Times New Roman"/>
      <w:kern w:val="2"/>
      <w:sz w:val="21"/>
      <w:szCs w:val="20"/>
    </w:rPr>
  </w:style>
  <w:style w:type="paragraph" w:customStyle="1" w:styleId="112">
    <w:name w:val="题注4"/>
    <w:basedOn w:val="1"/>
    <w:next w:val="15"/>
    <w:qFormat/>
    <w:uiPriority w:val="0"/>
    <w:pPr>
      <w:ind w:left="-132" w:leftChars="-64" w:right="-105" w:rightChars="-50" w:hanging="2"/>
      <w:jc w:val="center"/>
    </w:pPr>
    <w:rPr>
      <w:b/>
      <w:color w:val="FF0000"/>
      <w:szCs w:val="21"/>
      <w:lang w:val="en-GB"/>
    </w:rPr>
  </w:style>
  <w:style w:type="paragraph" w:customStyle="1" w:styleId="113">
    <w:name w:val="Char Char2 Char"/>
    <w:basedOn w:val="1"/>
    <w:qFormat/>
    <w:uiPriority w:val="0"/>
    <w:rPr>
      <w:rFonts w:ascii="宋体" w:hAnsi="宋体"/>
      <w:b/>
      <w:sz w:val="28"/>
      <w:szCs w:val="28"/>
    </w:rPr>
  </w:style>
  <w:style w:type="paragraph" w:customStyle="1" w:styleId="11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办公自动化专用标题"/>
    <w:basedOn w:val="46"/>
    <w:qFormat/>
    <w:uiPriority w:val="0"/>
    <w:pPr>
      <w:spacing w:line="560" w:lineRule="atLeast"/>
    </w:pPr>
    <w:rPr>
      <w:rFonts w:ascii="宋体" w:hAnsi="Arial"/>
      <w:bCs w:val="0"/>
      <w:sz w:val="44"/>
      <w:szCs w:val="20"/>
    </w:rPr>
  </w:style>
  <w:style w:type="paragraph" w:customStyle="1" w:styleId="117">
    <w:name w:val="Zchn Zchn"/>
    <w:basedOn w:val="1"/>
    <w:qFormat/>
    <w:uiPriority w:val="0"/>
    <w:rPr>
      <w:rFonts w:ascii="Tahoma" w:hAnsi="Tahoma"/>
      <w:sz w:val="24"/>
      <w:szCs w:val="20"/>
    </w:rPr>
  </w:style>
  <w:style w:type="paragraph" w:customStyle="1" w:styleId="118">
    <w:name w:val="Char Char Char"/>
    <w:basedOn w:val="1"/>
    <w:qFormat/>
    <w:uiPriority w:val="0"/>
    <w:rPr>
      <w:rFonts w:ascii="Tahoma" w:hAnsi="Tahoma"/>
      <w:sz w:val="24"/>
      <w:szCs w:val="20"/>
    </w:rPr>
  </w:style>
  <w:style w:type="character" w:customStyle="1" w:styleId="119">
    <w:name w:val="fontorange1"/>
    <w:qFormat/>
    <w:uiPriority w:val="0"/>
    <w:rPr>
      <w:rFonts w:hint="default" w:ascii="ˎ̥" w:hAnsi="ˎ̥" w:eastAsia="宋体"/>
      <w:color w:val="FF6600"/>
      <w:kern w:val="2"/>
      <w:sz w:val="18"/>
      <w:szCs w:val="18"/>
      <w:lang w:val="en-US" w:eastAsia="zh-CN" w:bidi="ar-SA"/>
    </w:rPr>
  </w:style>
  <w:style w:type="character" w:customStyle="1" w:styleId="120">
    <w:name w:val="ca-12"/>
    <w:qFormat/>
    <w:uiPriority w:val="0"/>
    <w:rPr>
      <w:rFonts w:eastAsia="宋体" w:cs="Times New Roman"/>
      <w:kern w:val="2"/>
      <w:sz w:val="24"/>
      <w:szCs w:val="24"/>
      <w:lang w:val="en-US" w:eastAsia="zh-CN" w:bidi="ar-SA"/>
    </w:rPr>
  </w:style>
  <w:style w:type="paragraph" w:customStyle="1" w:styleId="121">
    <w:name w:val="Char Char2 Char Char Char Char Char"/>
    <w:basedOn w:val="1"/>
    <w:qFormat/>
    <w:uiPriority w:val="0"/>
    <w:pPr>
      <w:numPr>
        <w:ilvl w:val="0"/>
        <w:numId w:val="3"/>
      </w:numPr>
    </w:pPr>
    <w:rPr>
      <w:sz w:val="24"/>
    </w:rPr>
  </w:style>
  <w:style w:type="paragraph" w:customStyle="1" w:styleId="12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23">
    <w:name w:val="标题-3"/>
    <w:basedOn w:val="1"/>
    <w:link w:val="124"/>
    <w:qFormat/>
    <w:uiPriority w:val="0"/>
    <w:pPr>
      <w:spacing w:beforeLines="50" w:afterLines="50"/>
      <w:outlineLvl w:val="2"/>
    </w:pPr>
    <w:rPr>
      <w:rFonts w:ascii="宋体" w:hAnsi="宋体"/>
      <w:b/>
      <w:kern w:val="0"/>
      <w:sz w:val="24"/>
    </w:rPr>
  </w:style>
  <w:style w:type="character" w:customStyle="1" w:styleId="124">
    <w:name w:val="标题-3 Char"/>
    <w:link w:val="123"/>
    <w:qFormat/>
    <w:uiPriority w:val="0"/>
    <w:rPr>
      <w:rFonts w:ascii="宋体" w:hAnsi="宋体" w:eastAsia="宋体"/>
      <w:b/>
      <w:sz w:val="24"/>
      <w:szCs w:val="24"/>
      <w:lang w:bidi="ar-SA"/>
    </w:rPr>
  </w:style>
  <w:style w:type="paragraph" w:customStyle="1" w:styleId="125">
    <w:name w:val="Char Char Char Char"/>
    <w:basedOn w:val="1"/>
    <w:qFormat/>
    <w:uiPriority w:val="0"/>
    <w:pPr>
      <w:tabs>
        <w:tab w:val="left" w:pos="780"/>
      </w:tabs>
      <w:ind w:left="780" w:hanging="360"/>
    </w:pPr>
    <w:rPr>
      <w:sz w:val="24"/>
    </w:rPr>
  </w:style>
  <w:style w:type="paragraph" w:customStyle="1" w:styleId="12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7">
    <w:name w:val="Revision"/>
    <w:hidden/>
    <w:semiHidden/>
    <w:qFormat/>
    <w:uiPriority w:val="0"/>
    <w:rPr>
      <w:rFonts w:ascii="Times New Roman" w:hAnsi="Times New Roman" w:eastAsia="宋体" w:cs="Times New Roman"/>
      <w:kern w:val="2"/>
      <w:sz w:val="21"/>
      <w:szCs w:val="24"/>
      <w:lang w:val="en-US" w:eastAsia="zh-CN" w:bidi="ar-SA"/>
    </w:rPr>
  </w:style>
  <w:style w:type="character" w:customStyle="1" w:styleId="128">
    <w:name w:val="2nd level Char"/>
    <w:qFormat/>
    <w:uiPriority w:val="0"/>
    <w:rPr>
      <w:rFonts w:ascii="Arial" w:hAnsi="Arial" w:eastAsia="黑体" w:cs="Times New Roman"/>
      <w:b/>
      <w:bCs/>
      <w:kern w:val="2"/>
      <w:sz w:val="32"/>
      <w:szCs w:val="32"/>
    </w:rPr>
  </w:style>
  <w:style w:type="character" w:customStyle="1" w:styleId="129">
    <w:name w:val="Char Char171"/>
    <w:qFormat/>
    <w:uiPriority w:val="0"/>
    <w:rPr>
      <w:rFonts w:ascii="Calibri" w:hAnsi="Calibri" w:eastAsia="宋体" w:cs="Times New Roman"/>
      <w:b/>
      <w:bCs/>
      <w:kern w:val="2"/>
      <w:sz w:val="32"/>
      <w:szCs w:val="32"/>
      <w:lang w:val="en-US" w:eastAsia="zh-CN" w:bidi="ar-SA"/>
    </w:rPr>
  </w:style>
  <w:style w:type="character" w:customStyle="1" w:styleId="130">
    <w:name w:val="Char Char9"/>
    <w:qFormat/>
    <w:uiPriority w:val="0"/>
    <w:rPr>
      <w:rFonts w:ascii="Calibri" w:hAnsi="Calibri" w:eastAsia="宋体" w:cs="Times New Roman"/>
      <w:kern w:val="2"/>
      <w:sz w:val="18"/>
      <w:szCs w:val="18"/>
      <w:lang w:val="en-US" w:eastAsia="zh-CN" w:bidi="ar-SA"/>
    </w:rPr>
  </w:style>
  <w:style w:type="paragraph" w:customStyle="1" w:styleId="131">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32">
    <w:name w:val="无缩进 Char"/>
    <w:qFormat/>
    <w:uiPriority w:val="0"/>
    <w:rPr>
      <w:rFonts w:ascii="Times New Roman" w:hAnsi="Times New Roman" w:eastAsia="宋体" w:cs="Times New Roman"/>
      <w:kern w:val="2"/>
      <w:sz w:val="21"/>
      <w:szCs w:val="20"/>
    </w:rPr>
  </w:style>
  <w:style w:type="character" w:customStyle="1" w:styleId="133">
    <w:name w:val="short_text"/>
    <w:qFormat/>
    <w:uiPriority w:val="0"/>
    <w:rPr>
      <w:rFonts w:eastAsia="宋体"/>
      <w:kern w:val="2"/>
      <w:sz w:val="24"/>
      <w:szCs w:val="24"/>
      <w:lang w:val="en-US" w:eastAsia="zh-CN" w:bidi="ar-SA"/>
    </w:rPr>
  </w:style>
  <w:style w:type="paragraph" w:customStyle="1" w:styleId="134">
    <w:name w:val="TOC Heading"/>
    <w:basedOn w:val="2"/>
    <w:next w:val="1"/>
    <w:qFormat/>
    <w:uiPriority w:val="0"/>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3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6">
    <w:name w:val="四级标题"/>
    <w:basedOn w:val="1"/>
    <w:link w:val="137"/>
    <w:qFormat/>
    <w:uiPriority w:val="0"/>
    <w:pPr>
      <w:numPr>
        <w:ilvl w:val="0"/>
        <w:numId w:val="5"/>
      </w:numPr>
      <w:spacing w:line="360" w:lineRule="auto"/>
      <w:outlineLvl w:val="3"/>
    </w:pPr>
    <w:rPr>
      <w:rFonts w:ascii="Calibri" w:hAnsi="Calibri" w:eastAsia="黑体"/>
      <w:b/>
      <w:sz w:val="28"/>
      <w:szCs w:val="20"/>
    </w:rPr>
  </w:style>
  <w:style w:type="character" w:customStyle="1" w:styleId="137">
    <w:name w:val="四级标题 Char"/>
    <w:link w:val="136"/>
    <w:qFormat/>
    <w:uiPriority w:val="0"/>
    <w:rPr>
      <w:rFonts w:eastAsia="黑体"/>
      <w:b/>
      <w:kern w:val="2"/>
      <w:sz w:val="28"/>
      <w:lang w:bidi="ar-SA"/>
    </w:rPr>
  </w:style>
  <w:style w:type="paragraph" w:customStyle="1" w:styleId="138">
    <w:name w:val="五级标题"/>
    <w:basedOn w:val="1"/>
    <w:link w:val="139"/>
    <w:qFormat/>
    <w:uiPriority w:val="0"/>
    <w:pPr>
      <w:numPr>
        <w:ilvl w:val="0"/>
        <w:numId w:val="6"/>
      </w:numPr>
      <w:spacing w:line="360" w:lineRule="auto"/>
      <w:outlineLvl w:val="4"/>
    </w:pPr>
    <w:rPr>
      <w:rFonts w:ascii="Calibri" w:hAnsi="Calibri" w:eastAsia="黑体"/>
      <w:b/>
      <w:sz w:val="28"/>
      <w:szCs w:val="20"/>
    </w:rPr>
  </w:style>
  <w:style w:type="character" w:customStyle="1" w:styleId="139">
    <w:name w:val="五级标题 Char"/>
    <w:link w:val="138"/>
    <w:qFormat/>
    <w:uiPriority w:val="0"/>
    <w:rPr>
      <w:rFonts w:eastAsia="黑体"/>
      <w:b/>
      <w:kern w:val="2"/>
      <w:sz w:val="28"/>
      <w:lang w:bidi="ar-SA"/>
    </w:rPr>
  </w:style>
  <w:style w:type="paragraph" w:customStyle="1" w:styleId="14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1">
    <w:name w:val="招标文件样式2"/>
    <w:basedOn w:val="1"/>
    <w:qFormat/>
    <w:uiPriority w:val="0"/>
    <w:pPr>
      <w:jc w:val="center"/>
      <w:outlineLvl w:val="0"/>
    </w:pPr>
    <w:rPr>
      <w:rFonts w:ascii="宋体" w:hAnsi="宋体"/>
      <w:b/>
      <w:sz w:val="28"/>
      <w:szCs w:val="28"/>
    </w:rPr>
  </w:style>
  <w:style w:type="paragraph" w:customStyle="1" w:styleId="142">
    <w:name w:val="列出段落1"/>
    <w:basedOn w:val="1"/>
    <w:qFormat/>
    <w:uiPriority w:val="99"/>
    <w:pPr>
      <w:ind w:firstLine="420" w:firstLineChars="200"/>
    </w:p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 w:type="paragraph" w:customStyle="1" w:styleId="145">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78"/>
    <customShpInfo spid="_x0000_s2079"/>
    <customShpInfo spid="_x0000_s2080"/>
    <customShpInfo spid="_x0000_s2081"/>
    <customShpInfo spid="_x0000_s2082"/>
    <customShpInfo spid="_x0000_s2083"/>
    <customShpInfo spid="_x0000_s208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F6F9D-EB16-4DF6-8CDB-4C25F1739377}">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34</Pages>
  <Words>2807</Words>
  <Characters>16001</Characters>
  <Lines>133</Lines>
  <Paragraphs>37</Paragraphs>
  <TotalTime>0</TotalTime>
  <ScaleCrop>false</ScaleCrop>
  <LinksUpToDate>false</LinksUpToDate>
  <CharactersWithSpaces>18771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2017-07-10T11:35:00Z</dcterms:created>
  <dc:creator>唐冰</dc:creator>
  <cp:lastModifiedBy>Administrator</cp:lastModifiedBy>
  <cp:lastPrinted>2019-05-31T01:42:00Z</cp:lastPrinted>
  <dcterms:modified xsi:type="dcterms:W3CDTF">2019-06-12T08:24:30Z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