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textAlignment w:val="baseline"/>
        <w:rPr>
          <w:rFonts w:ascii="宋体" w:hAnsi="宋体"/>
          <w:b/>
          <w:sz w:val="72"/>
          <w:szCs w:val="72"/>
        </w:rPr>
      </w:pPr>
    </w:p>
    <w:p>
      <w:pPr>
        <w:spacing w:before="312" w:after="156" w:line="600" w:lineRule="exact"/>
        <w:jc w:val="center"/>
        <w:textAlignment w:val="baseline"/>
        <w:rPr>
          <w:rFonts w:ascii="宋体" w:hAnsi="宋体"/>
          <w:b/>
          <w:sz w:val="72"/>
          <w:szCs w:val="72"/>
        </w:rPr>
      </w:pPr>
    </w:p>
    <w:p>
      <w:pPr>
        <w:spacing w:before="312" w:after="156" w:line="600" w:lineRule="exact"/>
        <w:jc w:val="center"/>
        <w:textAlignment w:val="baseline"/>
        <w:rPr>
          <w:rFonts w:ascii="宋体" w:hAnsi="宋体"/>
          <w:b/>
          <w:sz w:val="72"/>
          <w:szCs w:val="72"/>
        </w:rPr>
      </w:pPr>
    </w:p>
    <w:p>
      <w:pPr>
        <w:spacing w:before="312" w:after="156" w:line="600" w:lineRule="exact"/>
        <w:jc w:val="center"/>
        <w:textAlignment w:val="baseline"/>
        <w:rPr>
          <w:rFonts w:ascii="宋体" w:hAnsi="宋体"/>
          <w:b/>
          <w:sz w:val="72"/>
          <w:szCs w:val="72"/>
        </w:rPr>
      </w:pPr>
      <w:r>
        <w:rPr>
          <w:rFonts w:hint="eastAsia" w:ascii="宋体" w:hAnsi="宋体"/>
          <w:b/>
          <w:sz w:val="72"/>
          <w:szCs w:val="72"/>
        </w:rPr>
        <w:t>竞争性磋商文件</w:t>
      </w:r>
    </w:p>
    <w:p>
      <w:pPr>
        <w:spacing w:before="312" w:after="156" w:line="600" w:lineRule="exact"/>
        <w:jc w:val="center"/>
        <w:textAlignment w:val="baseline"/>
        <w:rPr>
          <w:rFonts w:ascii="宋体" w:hAnsi="宋体"/>
          <w:b/>
          <w:sz w:val="72"/>
          <w:szCs w:val="72"/>
        </w:rPr>
      </w:pPr>
    </w:p>
    <w:p>
      <w:pPr>
        <w:spacing w:before="312" w:after="156" w:line="600" w:lineRule="exact"/>
        <w:jc w:val="center"/>
        <w:textAlignment w:val="baseline"/>
        <w:rPr>
          <w:rFonts w:ascii="宋体" w:hAnsi="宋体"/>
          <w:b/>
          <w:sz w:val="72"/>
          <w:szCs w:val="72"/>
        </w:rPr>
      </w:pPr>
    </w:p>
    <w:p>
      <w:pPr>
        <w:spacing w:line="400" w:lineRule="exact"/>
        <w:jc w:val="center"/>
        <w:textAlignment w:val="baseline"/>
        <w:rPr>
          <w:rFonts w:ascii="宋体" w:hAnsi="宋体"/>
          <w:b/>
          <w:sz w:val="32"/>
          <w:szCs w:val="32"/>
        </w:rPr>
      </w:pPr>
    </w:p>
    <w:p>
      <w:pPr>
        <w:spacing w:line="400" w:lineRule="exact"/>
        <w:ind w:firstLine="1063" w:firstLineChars="331"/>
        <w:jc w:val="left"/>
        <w:textAlignment w:val="baseline"/>
        <w:rPr>
          <w:rFonts w:ascii="宋体" w:hAnsi="宋体"/>
          <w:b/>
          <w:sz w:val="32"/>
          <w:szCs w:val="32"/>
        </w:rPr>
      </w:pPr>
    </w:p>
    <w:p>
      <w:pPr>
        <w:spacing w:line="400" w:lineRule="exact"/>
        <w:ind w:firstLine="1063" w:firstLineChars="331"/>
        <w:jc w:val="left"/>
        <w:textAlignment w:val="baseline"/>
        <w:rPr>
          <w:rFonts w:ascii="宋体" w:hAnsi="宋体"/>
          <w:b/>
          <w:sz w:val="32"/>
          <w:szCs w:val="32"/>
        </w:rPr>
      </w:pPr>
      <w:r>
        <w:rPr>
          <w:rFonts w:hint="eastAsia" w:ascii="宋体" w:hAnsi="宋体"/>
          <w:b/>
          <w:sz w:val="32"/>
          <w:szCs w:val="32"/>
        </w:rPr>
        <w:t>项目名称：会展大厦三楼食堂对外经营管理采购</w:t>
      </w:r>
    </w:p>
    <w:p>
      <w:pPr>
        <w:spacing w:line="400" w:lineRule="exact"/>
        <w:ind w:firstLine="1063" w:firstLineChars="331"/>
        <w:jc w:val="left"/>
        <w:textAlignment w:val="baseline"/>
        <w:rPr>
          <w:rFonts w:ascii="宋体" w:hAnsi="宋体"/>
          <w:b/>
          <w:bCs/>
          <w:sz w:val="32"/>
          <w:szCs w:val="32"/>
        </w:rPr>
      </w:pPr>
    </w:p>
    <w:p>
      <w:pPr>
        <w:spacing w:line="400" w:lineRule="exact"/>
        <w:ind w:firstLine="1063" w:firstLineChars="331"/>
        <w:jc w:val="left"/>
        <w:textAlignment w:val="baseline"/>
        <w:rPr>
          <w:rFonts w:ascii="宋体" w:hAnsi="宋体"/>
          <w:b/>
          <w:bCs/>
          <w:sz w:val="32"/>
          <w:szCs w:val="32"/>
        </w:rPr>
      </w:pPr>
      <w:r>
        <w:rPr>
          <w:rFonts w:hint="eastAsia" w:ascii="宋体" w:hAnsi="宋体"/>
          <w:b/>
          <w:bCs/>
          <w:sz w:val="32"/>
          <w:szCs w:val="32"/>
        </w:rPr>
        <w:t>采购单位：广西南博国际会展有限责任公司</w:t>
      </w:r>
    </w:p>
    <w:p>
      <w:pPr>
        <w:spacing w:line="400" w:lineRule="exact"/>
        <w:ind w:firstLine="1063" w:firstLineChars="331"/>
        <w:jc w:val="left"/>
        <w:textAlignment w:val="baseline"/>
        <w:rPr>
          <w:rFonts w:ascii="宋体" w:hAnsi="宋体"/>
          <w:b/>
          <w:bCs/>
          <w:sz w:val="32"/>
          <w:szCs w:val="32"/>
        </w:rPr>
      </w:pPr>
    </w:p>
    <w:p>
      <w:pPr>
        <w:spacing w:line="400" w:lineRule="exact"/>
        <w:ind w:firstLine="1426" w:firstLineChars="444"/>
        <w:textAlignment w:val="baseline"/>
        <w:rPr>
          <w:rFonts w:ascii="宋体" w:hAnsi="宋体"/>
          <w:b/>
          <w:sz w:val="32"/>
          <w:szCs w:val="32"/>
        </w:rPr>
      </w:pPr>
    </w:p>
    <w:p>
      <w:pPr>
        <w:spacing w:line="400" w:lineRule="exact"/>
        <w:jc w:val="center"/>
        <w:textAlignment w:val="baseline"/>
        <w:rPr>
          <w:rFonts w:ascii="宋体" w:hAnsi="宋体"/>
          <w:b/>
          <w:sz w:val="32"/>
          <w:szCs w:val="32"/>
        </w:rPr>
      </w:pPr>
    </w:p>
    <w:p>
      <w:pPr>
        <w:spacing w:line="400" w:lineRule="exact"/>
        <w:jc w:val="center"/>
        <w:textAlignment w:val="baseline"/>
        <w:rPr>
          <w:rFonts w:ascii="宋体" w:hAnsi="宋体"/>
          <w:b/>
          <w:sz w:val="32"/>
          <w:szCs w:val="32"/>
        </w:rPr>
      </w:pPr>
    </w:p>
    <w:p>
      <w:pPr>
        <w:tabs>
          <w:tab w:val="left" w:pos="5080"/>
        </w:tabs>
        <w:spacing w:line="400" w:lineRule="exact"/>
        <w:jc w:val="left"/>
        <w:textAlignment w:val="baseline"/>
        <w:rPr>
          <w:rFonts w:ascii="宋体" w:hAnsi="宋体"/>
          <w:b/>
          <w:sz w:val="32"/>
          <w:szCs w:val="32"/>
        </w:rPr>
      </w:pPr>
      <w:r>
        <w:rPr>
          <w:rFonts w:ascii="宋体" w:hAnsi="宋体"/>
          <w:b/>
          <w:sz w:val="32"/>
          <w:szCs w:val="32"/>
        </w:rPr>
        <w:tab/>
      </w:r>
    </w:p>
    <w:p>
      <w:pPr>
        <w:spacing w:line="400" w:lineRule="exact"/>
        <w:jc w:val="center"/>
        <w:textAlignment w:val="baseline"/>
        <w:rPr>
          <w:rFonts w:ascii="宋体" w:hAnsi="宋体"/>
          <w:b/>
          <w:sz w:val="32"/>
          <w:szCs w:val="32"/>
        </w:rPr>
      </w:pPr>
    </w:p>
    <w:p>
      <w:pPr>
        <w:spacing w:line="400" w:lineRule="exact"/>
        <w:jc w:val="center"/>
        <w:textAlignment w:val="baseline"/>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2</w:t>
      </w:r>
      <w:r>
        <w:rPr>
          <w:rFonts w:hint="eastAsia" w:ascii="宋体" w:hAnsi="宋体"/>
          <w:b/>
          <w:sz w:val="32"/>
          <w:szCs w:val="32"/>
        </w:rPr>
        <w:t>年</w:t>
      </w:r>
      <w:r>
        <w:rPr>
          <w:rFonts w:hint="eastAsia" w:ascii="宋体" w:hAnsi="宋体"/>
          <w:b/>
          <w:sz w:val="32"/>
          <w:szCs w:val="32"/>
          <w:lang w:val="en-US" w:eastAsia="zh-CN"/>
        </w:rPr>
        <w:t>7</w:t>
      </w:r>
      <w:r>
        <w:rPr>
          <w:rFonts w:hint="eastAsia" w:ascii="宋体" w:hAnsi="宋体"/>
          <w:b/>
          <w:sz w:val="32"/>
          <w:szCs w:val="32"/>
        </w:rPr>
        <w:t>月</w:t>
      </w:r>
    </w:p>
    <w:p>
      <w:pPr>
        <w:spacing w:line="400" w:lineRule="exact"/>
        <w:jc w:val="center"/>
        <w:textAlignment w:val="baseline"/>
        <w:rPr>
          <w:rFonts w:ascii="宋体" w:hAnsi="宋体"/>
          <w:b/>
          <w:sz w:val="32"/>
          <w:szCs w:val="32"/>
        </w:rPr>
      </w:pPr>
    </w:p>
    <w:p>
      <w:pPr>
        <w:spacing w:line="400" w:lineRule="exact"/>
        <w:jc w:val="center"/>
        <w:textAlignment w:val="baseline"/>
        <w:rPr>
          <w:rFonts w:ascii="宋体" w:hAnsi="宋体"/>
          <w:b/>
          <w:sz w:val="32"/>
          <w:szCs w:val="32"/>
        </w:rPr>
      </w:pPr>
    </w:p>
    <w:p>
      <w:pPr>
        <w:spacing w:line="400" w:lineRule="exact"/>
        <w:jc w:val="center"/>
        <w:textAlignment w:val="baseline"/>
        <w:rPr>
          <w:rFonts w:ascii="宋体" w:hAnsi="宋体"/>
          <w:b/>
          <w:sz w:val="32"/>
          <w:szCs w:val="32"/>
        </w:rPr>
      </w:pPr>
    </w:p>
    <w:p>
      <w:pPr>
        <w:spacing w:line="400" w:lineRule="exact"/>
        <w:jc w:val="center"/>
        <w:textAlignment w:val="baseline"/>
        <w:rPr>
          <w:rFonts w:ascii="宋体" w:hAnsi="宋体"/>
          <w:b/>
          <w:sz w:val="32"/>
          <w:szCs w:val="32"/>
        </w:rPr>
      </w:pPr>
    </w:p>
    <w:p>
      <w:pPr>
        <w:spacing w:line="400" w:lineRule="exact"/>
        <w:jc w:val="center"/>
        <w:textAlignment w:val="baseline"/>
        <w:rPr>
          <w:rFonts w:ascii="宋体" w:hAnsi="宋体"/>
          <w:b/>
          <w:sz w:val="32"/>
          <w:szCs w:val="32"/>
        </w:rPr>
      </w:pPr>
    </w:p>
    <w:p>
      <w:pPr>
        <w:spacing w:line="400" w:lineRule="exact"/>
        <w:jc w:val="center"/>
        <w:textAlignment w:val="baseline"/>
        <w:rPr>
          <w:rFonts w:ascii="宋体" w:hAnsi="宋体"/>
          <w:b/>
          <w:sz w:val="36"/>
          <w:szCs w:val="36"/>
        </w:rPr>
        <w:sectPr>
          <w:headerReference r:id="rId3" w:type="default"/>
          <w:footerReference r:id="rId4" w:type="default"/>
          <w:pgSz w:w="11906" w:h="16838"/>
          <w:pgMar w:top="1440" w:right="1646" w:bottom="1440" w:left="1800" w:header="851" w:footer="992" w:gutter="0"/>
          <w:pgNumType w:start="0"/>
          <w:cols w:space="720" w:num="1"/>
          <w:titlePg/>
          <w:docGrid w:type="lines" w:linePitch="312" w:charSpace="0"/>
        </w:sectPr>
      </w:pPr>
    </w:p>
    <w:p>
      <w:pPr>
        <w:spacing w:line="400" w:lineRule="exact"/>
        <w:jc w:val="center"/>
        <w:textAlignment w:val="baseline"/>
        <w:rPr>
          <w:rFonts w:ascii="宋体" w:hAnsi="宋体"/>
          <w:b/>
          <w:sz w:val="36"/>
          <w:szCs w:val="36"/>
        </w:rPr>
      </w:pPr>
    </w:p>
    <w:p>
      <w:pPr>
        <w:spacing w:line="400" w:lineRule="exact"/>
        <w:jc w:val="center"/>
        <w:textAlignment w:val="baseline"/>
        <w:rPr>
          <w:rFonts w:ascii="宋体" w:hAnsi="宋体"/>
          <w:b/>
          <w:sz w:val="36"/>
          <w:szCs w:val="36"/>
        </w:rPr>
      </w:pPr>
    </w:p>
    <w:p>
      <w:pPr>
        <w:spacing w:line="400" w:lineRule="exact"/>
        <w:jc w:val="center"/>
        <w:textAlignment w:val="baseline"/>
        <w:rPr>
          <w:rFonts w:ascii="宋体" w:hAnsi="宋体"/>
          <w:b/>
          <w:sz w:val="36"/>
          <w:szCs w:val="36"/>
        </w:rPr>
      </w:pPr>
    </w:p>
    <w:p>
      <w:pPr>
        <w:spacing w:line="400" w:lineRule="exact"/>
        <w:jc w:val="center"/>
        <w:textAlignment w:val="baseline"/>
        <w:rPr>
          <w:rFonts w:ascii="宋体" w:hAnsi="宋体"/>
          <w:b/>
          <w:sz w:val="36"/>
          <w:szCs w:val="36"/>
        </w:rPr>
      </w:pPr>
    </w:p>
    <w:p>
      <w:pPr>
        <w:spacing w:line="400" w:lineRule="exact"/>
        <w:jc w:val="center"/>
        <w:textAlignment w:val="baseline"/>
        <w:rPr>
          <w:rFonts w:ascii="宋体" w:hAnsi="宋体"/>
          <w:b/>
          <w:sz w:val="36"/>
          <w:szCs w:val="36"/>
        </w:rPr>
      </w:pPr>
      <w:r>
        <w:rPr>
          <w:rFonts w:hint="eastAsia" w:ascii="宋体" w:hAnsi="宋体"/>
          <w:b/>
          <w:sz w:val="36"/>
          <w:szCs w:val="36"/>
        </w:rPr>
        <w:t>目   录</w:t>
      </w:r>
    </w:p>
    <w:p>
      <w:pPr>
        <w:spacing w:line="400" w:lineRule="exact"/>
        <w:jc w:val="center"/>
        <w:textAlignment w:val="baseline"/>
        <w:rPr>
          <w:rFonts w:ascii="宋体" w:hAnsi="宋体"/>
          <w:b/>
          <w:sz w:val="44"/>
          <w:szCs w:val="44"/>
        </w:rPr>
      </w:pPr>
    </w:p>
    <w:p>
      <w:pPr>
        <w:pStyle w:val="42"/>
        <w:ind w:leftChars="0" w:hanging="420" w:hangingChars="150"/>
        <w:textAlignment w:val="baseline"/>
        <w:rPr>
          <w:rFonts w:ascii="宋体" w:hAnsi="宋体"/>
          <w:b/>
          <w:sz w:val="28"/>
          <w:szCs w:val="28"/>
        </w:rPr>
      </w:pPr>
      <w:r>
        <w:rPr>
          <w:rFonts w:ascii="宋体" w:hAnsi="宋体"/>
          <w:sz w:val="28"/>
          <w:szCs w:val="28"/>
        </w:rPr>
        <w:fldChar w:fldCharType="begin"/>
      </w:r>
      <w:r>
        <w:rPr>
          <w:rFonts w:hint="eastAsia" w:ascii="宋体" w:hAnsi="宋体"/>
          <w:sz w:val="28"/>
          <w:szCs w:val="28"/>
        </w:rPr>
        <w:instrText xml:space="preserve">TOC \o "1-3" \h \z \u</w:instrText>
      </w:r>
      <w:r>
        <w:rPr>
          <w:rFonts w:ascii="宋体" w:hAnsi="宋体"/>
          <w:sz w:val="28"/>
          <w:szCs w:val="28"/>
        </w:rPr>
        <w:fldChar w:fldCharType="separate"/>
      </w:r>
      <w:r>
        <w:fldChar w:fldCharType="begin"/>
      </w:r>
      <w:r>
        <w:instrText xml:space="preserve"> HYPERLINK \l "_Toc47625214" </w:instrText>
      </w:r>
      <w:r>
        <w:fldChar w:fldCharType="separate"/>
      </w:r>
      <w:r>
        <w:rPr>
          <w:rStyle w:val="58"/>
          <w:rFonts w:hint="eastAsia" w:ascii="宋体" w:hAnsi="宋体"/>
          <w:b/>
          <w:color w:val="auto"/>
          <w:sz w:val="28"/>
          <w:szCs w:val="28"/>
          <w:u w:color="0000FF"/>
        </w:rPr>
        <w:t>第一章 竞争性磋商公告</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_Toc47625214 \h </w:instrText>
      </w:r>
      <w:r>
        <w:rPr>
          <w:rFonts w:ascii="宋体" w:hAnsi="宋体"/>
          <w:b/>
          <w:sz w:val="28"/>
          <w:szCs w:val="28"/>
        </w:rPr>
        <w:fldChar w:fldCharType="separate"/>
      </w:r>
      <w:r>
        <w:rPr>
          <w:rFonts w:ascii="宋体" w:hAnsi="宋体"/>
          <w:b/>
          <w:sz w:val="28"/>
          <w:szCs w:val="28"/>
        </w:rPr>
        <w:t>1</w:t>
      </w:r>
      <w:r>
        <w:rPr>
          <w:rFonts w:ascii="宋体" w:hAnsi="宋体"/>
          <w:b/>
          <w:sz w:val="28"/>
          <w:szCs w:val="28"/>
        </w:rPr>
        <w:fldChar w:fldCharType="end"/>
      </w:r>
      <w:r>
        <w:rPr>
          <w:rFonts w:ascii="宋体" w:hAnsi="宋体"/>
          <w:b/>
          <w:sz w:val="28"/>
          <w:szCs w:val="28"/>
        </w:rPr>
        <w:fldChar w:fldCharType="end"/>
      </w:r>
    </w:p>
    <w:p>
      <w:pPr>
        <w:pStyle w:val="42"/>
        <w:ind w:left="315" w:leftChars="0" w:hanging="315" w:hangingChars="150"/>
        <w:textAlignment w:val="baseline"/>
        <w:rPr>
          <w:rFonts w:ascii="宋体" w:hAnsi="宋体"/>
          <w:b/>
          <w:sz w:val="28"/>
          <w:szCs w:val="28"/>
        </w:rPr>
      </w:pPr>
      <w:r>
        <w:fldChar w:fldCharType="begin"/>
      </w:r>
      <w:r>
        <w:instrText xml:space="preserve"> HYPERLINK \l "_Toc47625223" </w:instrText>
      </w:r>
      <w:r>
        <w:fldChar w:fldCharType="separate"/>
      </w:r>
      <w:r>
        <w:rPr>
          <w:rStyle w:val="58"/>
          <w:rFonts w:hint="eastAsia" w:ascii="宋体" w:hAnsi="宋体"/>
          <w:b/>
          <w:color w:val="auto"/>
          <w:sz w:val="28"/>
          <w:szCs w:val="28"/>
          <w:u w:color="0000FF"/>
        </w:rPr>
        <w:t>第二章 磋商须知</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_Toc47625223 \h </w:instrText>
      </w:r>
      <w:r>
        <w:rPr>
          <w:rFonts w:ascii="宋体" w:hAnsi="宋体"/>
          <w:b/>
          <w:sz w:val="28"/>
          <w:szCs w:val="28"/>
        </w:rPr>
        <w:fldChar w:fldCharType="separate"/>
      </w:r>
      <w:r>
        <w:rPr>
          <w:rFonts w:ascii="宋体" w:hAnsi="宋体"/>
          <w:b/>
          <w:sz w:val="28"/>
          <w:szCs w:val="28"/>
        </w:rPr>
        <w:t>3</w:t>
      </w:r>
      <w:r>
        <w:rPr>
          <w:rFonts w:ascii="宋体" w:hAnsi="宋体"/>
          <w:b/>
          <w:sz w:val="28"/>
          <w:szCs w:val="28"/>
        </w:rPr>
        <w:fldChar w:fldCharType="end"/>
      </w:r>
      <w:r>
        <w:rPr>
          <w:rFonts w:ascii="宋体" w:hAnsi="宋体"/>
          <w:b/>
          <w:sz w:val="28"/>
          <w:szCs w:val="28"/>
        </w:rPr>
        <w:fldChar w:fldCharType="end"/>
      </w:r>
    </w:p>
    <w:p>
      <w:pPr>
        <w:pStyle w:val="42"/>
        <w:ind w:left="315" w:leftChars="0" w:hanging="315" w:hangingChars="150"/>
        <w:textAlignment w:val="baseline"/>
        <w:rPr>
          <w:rFonts w:ascii="宋体" w:hAnsi="宋体"/>
          <w:b/>
          <w:sz w:val="28"/>
          <w:szCs w:val="28"/>
        </w:rPr>
      </w:pPr>
      <w:r>
        <w:fldChar w:fldCharType="begin"/>
      </w:r>
      <w:r>
        <w:instrText xml:space="preserve"> HYPERLINK \l "_Toc47625224" </w:instrText>
      </w:r>
      <w:r>
        <w:fldChar w:fldCharType="separate"/>
      </w:r>
      <w:r>
        <w:rPr>
          <w:rStyle w:val="58"/>
          <w:rFonts w:hint="eastAsia" w:ascii="宋体" w:hAnsi="宋体"/>
          <w:b/>
          <w:color w:val="auto"/>
          <w:sz w:val="28"/>
          <w:szCs w:val="28"/>
          <w:u w:color="0000FF"/>
        </w:rPr>
        <w:t>第三章 项目需求</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_Toc47625224 \h </w:instrText>
      </w:r>
      <w:r>
        <w:rPr>
          <w:rFonts w:ascii="宋体" w:hAnsi="宋体"/>
          <w:b/>
          <w:sz w:val="28"/>
          <w:szCs w:val="28"/>
        </w:rPr>
        <w:fldChar w:fldCharType="separate"/>
      </w:r>
      <w:r>
        <w:rPr>
          <w:rFonts w:ascii="宋体" w:hAnsi="宋体"/>
          <w:b/>
          <w:sz w:val="28"/>
          <w:szCs w:val="28"/>
        </w:rPr>
        <w:t>17</w:t>
      </w:r>
      <w:r>
        <w:rPr>
          <w:rFonts w:ascii="宋体" w:hAnsi="宋体"/>
          <w:b/>
          <w:sz w:val="28"/>
          <w:szCs w:val="28"/>
        </w:rPr>
        <w:fldChar w:fldCharType="end"/>
      </w:r>
      <w:r>
        <w:rPr>
          <w:rFonts w:ascii="宋体" w:hAnsi="宋体"/>
          <w:b/>
          <w:sz w:val="28"/>
          <w:szCs w:val="28"/>
        </w:rPr>
        <w:fldChar w:fldCharType="end"/>
      </w:r>
    </w:p>
    <w:p>
      <w:pPr>
        <w:pStyle w:val="42"/>
        <w:ind w:left="315" w:leftChars="0" w:hanging="315" w:hangingChars="150"/>
        <w:textAlignment w:val="baseline"/>
        <w:rPr>
          <w:rFonts w:ascii="宋体" w:hAnsi="宋体"/>
          <w:b/>
          <w:sz w:val="28"/>
          <w:szCs w:val="28"/>
        </w:rPr>
      </w:pPr>
      <w:r>
        <w:fldChar w:fldCharType="begin"/>
      </w:r>
      <w:r>
        <w:instrText xml:space="preserve"> HYPERLINK \l "_Toc47625230" </w:instrText>
      </w:r>
      <w:r>
        <w:fldChar w:fldCharType="separate"/>
      </w:r>
      <w:r>
        <w:rPr>
          <w:rStyle w:val="58"/>
          <w:rFonts w:hint="eastAsia" w:ascii="宋体" w:hAnsi="宋体"/>
          <w:b/>
          <w:color w:val="auto"/>
          <w:sz w:val="28"/>
          <w:szCs w:val="28"/>
          <w:u w:color="0000FF"/>
        </w:rPr>
        <w:t>第四章  评审方法及定标标准</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_Toc47625230 \h </w:instrText>
      </w:r>
      <w:r>
        <w:rPr>
          <w:rFonts w:ascii="宋体" w:hAnsi="宋体"/>
          <w:b/>
          <w:sz w:val="28"/>
          <w:szCs w:val="28"/>
        </w:rPr>
        <w:fldChar w:fldCharType="separate"/>
      </w:r>
      <w:r>
        <w:rPr>
          <w:rFonts w:ascii="宋体" w:hAnsi="宋体"/>
          <w:b/>
          <w:sz w:val="28"/>
          <w:szCs w:val="28"/>
        </w:rPr>
        <w:t>21</w:t>
      </w:r>
      <w:r>
        <w:rPr>
          <w:rFonts w:ascii="宋体" w:hAnsi="宋体"/>
          <w:b/>
          <w:sz w:val="28"/>
          <w:szCs w:val="28"/>
        </w:rPr>
        <w:fldChar w:fldCharType="end"/>
      </w:r>
      <w:r>
        <w:rPr>
          <w:rFonts w:ascii="宋体" w:hAnsi="宋体"/>
          <w:b/>
          <w:sz w:val="28"/>
          <w:szCs w:val="28"/>
        </w:rPr>
        <w:fldChar w:fldCharType="end"/>
      </w:r>
    </w:p>
    <w:p>
      <w:pPr>
        <w:pStyle w:val="42"/>
        <w:ind w:left="315" w:leftChars="0" w:hanging="315" w:hangingChars="150"/>
        <w:textAlignment w:val="baseline"/>
        <w:rPr>
          <w:rFonts w:ascii="宋体" w:hAnsi="宋体"/>
          <w:b/>
          <w:sz w:val="28"/>
          <w:szCs w:val="28"/>
        </w:rPr>
      </w:pPr>
      <w:r>
        <w:fldChar w:fldCharType="begin"/>
      </w:r>
      <w:r>
        <w:instrText xml:space="preserve"> HYPERLINK \l "_Toc47625231" </w:instrText>
      </w:r>
      <w:r>
        <w:fldChar w:fldCharType="separate"/>
      </w:r>
      <w:r>
        <w:rPr>
          <w:rStyle w:val="58"/>
          <w:rFonts w:hint="eastAsia" w:ascii="宋体" w:hAnsi="宋体"/>
          <w:b/>
          <w:color w:val="auto"/>
          <w:sz w:val="28"/>
          <w:szCs w:val="28"/>
          <w:u w:color="0000FF"/>
        </w:rPr>
        <w:t>第五章  响应文件格式</w:t>
      </w:r>
      <w:r>
        <w:rPr>
          <w:rFonts w:ascii="宋体" w:hAnsi="宋体"/>
          <w:b/>
          <w:sz w:val="28"/>
          <w:szCs w:val="28"/>
        </w:rPr>
        <w:tab/>
      </w:r>
      <w:r>
        <w:rPr>
          <w:rFonts w:ascii="宋体" w:hAnsi="宋体"/>
          <w:b/>
          <w:sz w:val="28"/>
          <w:szCs w:val="28"/>
        </w:rPr>
        <w:fldChar w:fldCharType="begin"/>
      </w:r>
      <w:r>
        <w:rPr>
          <w:rFonts w:ascii="宋体" w:hAnsi="宋体"/>
          <w:b/>
          <w:sz w:val="28"/>
          <w:szCs w:val="28"/>
        </w:rPr>
        <w:instrText xml:space="preserve"> PAGEREF _Toc47625231 \h </w:instrText>
      </w:r>
      <w:r>
        <w:rPr>
          <w:rFonts w:ascii="宋体" w:hAnsi="宋体"/>
          <w:b/>
          <w:sz w:val="28"/>
          <w:szCs w:val="28"/>
        </w:rPr>
        <w:fldChar w:fldCharType="separate"/>
      </w:r>
      <w:r>
        <w:rPr>
          <w:rFonts w:ascii="宋体" w:hAnsi="宋体"/>
          <w:b/>
          <w:sz w:val="28"/>
          <w:szCs w:val="28"/>
        </w:rPr>
        <w:t>30</w:t>
      </w:r>
      <w:r>
        <w:rPr>
          <w:rFonts w:ascii="宋体" w:hAnsi="宋体"/>
          <w:b/>
          <w:sz w:val="28"/>
          <w:szCs w:val="28"/>
        </w:rPr>
        <w:fldChar w:fldCharType="end"/>
      </w:r>
      <w:r>
        <w:rPr>
          <w:rFonts w:ascii="宋体" w:hAnsi="宋体"/>
          <w:b/>
          <w:sz w:val="28"/>
          <w:szCs w:val="28"/>
        </w:rPr>
        <w:fldChar w:fldCharType="end"/>
      </w:r>
    </w:p>
    <w:p>
      <w:pPr>
        <w:pStyle w:val="42"/>
        <w:ind w:left="315" w:leftChars="0" w:hanging="315" w:hangingChars="150"/>
        <w:textAlignment w:val="baseline"/>
        <w:rPr>
          <w:rFonts w:hint="default" w:ascii="宋体" w:hAnsi="宋体" w:eastAsia="宋体"/>
          <w:b/>
          <w:sz w:val="28"/>
          <w:szCs w:val="28"/>
          <w:lang w:val="en-US" w:eastAsia="zh-CN"/>
        </w:rPr>
      </w:pPr>
      <w:r>
        <w:fldChar w:fldCharType="begin"/>
      </w:r>
      <w:r>
        <w:instrText xml:space="preserve"> HYPERLINK \l "_Toc47625234" </w:instrText>
      </w:r>
      <w:r>
        <w:fldChar w:fldCharType="separate"/>
      </w:r>
      <w:r>
        <w:rPr>
          <w:rStyle w:val="58"/>
          <w:rFonts w:hint="eastAsia" w:ascii="宋体" w:hAnsi="宋体"/>
          <w:b/>
          <w:bCs/>
          <w:color w:val="auto"/>
          <w:sz w:val="28"/>
          <w:szCs w:val="28"/>
          <w:u w:color="0000FF"/>
        </w:rPr>
        <w:t>第六章  合同文本</w:t>
      </w:r>
      <w:r>
        <w:rPr>
          <w:rFonts w:ascii="宋体" w:hAnsi="宋体"/>
          <w:b/>
          <w:sz w:val="28"/>
          <w:szCs w:val="28"/>
        </w:rPr>
        <w:tab/>
      </w:r>
      <w:r>
        <w:rPr>
          <w:rFonts w:ascii="宋体" w:hAnsi="宋体"/>
          <w:b/>
          <w:sz w:val="28"/>
          <w:szCs w:val="28"/>
        </w:rPr>
        <w:fldChar w:fldCharType="end"/>
      </w:r>
      <w:r>
        <w:rPr>
          <w:rFonts w:hint="eastAsia" w:ascii="宋体" w:hAnsi="宋体"/>
          <w:b/>
          <w:sz w:val="28"/>
          <w:szCs w:val="28"/>
          <w:lang w:val="en-US" w:eastAsia="zh-CN"/>
        </w:rPr>
        <w:t>51</w:t>
      </w:r>
    </w:p>
    <w:p>
      <w:pPr>
        <w:spacing w:line="360" w:lineRule="auto"/>
        <w:ind w:left="420" w:hanging="420" w:hangingChars="150"/>
        <w:jc w:val="left"/>
        <w:textAlignment w:val="baseline"/>
        <w:rPr>
          <w:rFonts w:ascii="宋体" w:hAnsi="宋体"/>
          <w:b/>
          <w:sz w:val="30"/>
          <w:szCs w:val="30"/>
        </w:rPr>
      </w:pPr>
      <w:r>
        <w:rPr>
          <w:rFonts w:ascii="宋体" w:hAnsi="宋体"/>
          <w:sz w:val="28"/>
          <w:szCs w:val="28"/>
        </w:rPr>
        <w:fldChar w:fldCharType="end"/>
      </w:r>
    </w:p>
    <w:p>
      <w:pPr>
        <w:spacing w:line="400" w:lineRule="exact"/>
        <w:jc w:val="left"/>
        <w:textAlignment w:val="baseline"/>
        <w:rPr>
          <w:rFonts w:ascii="宋体" w:hAnsi="宋体"/>
          <w:b/>
          <w:sz w:val="32"/>
          <w:szCs w:val="32"/>
        </w:rPr>
      </w:pPr>
    </w:p>
    <w:p>
      <w:pPr>
        <w:spacing w:line="400" w:lineRule="exact"/>
        <w:jc w:val="center"/>
        <w:textAlignment w:val="baseline"/>
        <w:rPr>
          <w:rFonts w:ascii="宋体" w:hAnsi="宋体"/>
          <w:b/>
          <w:sz w:val="32"/>
          <w:szCs w:val="32"/>
        </w:rPr>
      </w:pPr>
    </w:p>
    <w:p>
      <w:pPr>
        <w:spacing w:line="400" w:lineRule="exact"/>
        <w:jc w:val="center"/>
        <w:textAlignment w:val="baseline"/>
        <w:rPr>
          <w:rFonts w:ascii="宋体" w:hAnsi="宋体"/>
          <w:b/>
          <w:sz w:val="32"/>
          <w:szCs w:val="32"/>
        </w:rPr>
      </w:pPr>
    </w:p>
    <w:p>
      <w:pPr>
        <w:spacing w:line="400" w:lineRule="exact"/>
        <w:jc w:val="center"/>
        <w:textAlignment w:val="baseline"/>
        <w:rPr>
          <w:rFonts w:ascii="宋体" w:hAnsi="宋体"/>
          <w:b/>
          <w:sz w:val="32"/>
          <w:szCs w:val="32"/>
        </w:rPr>
      </w:pPr>
    </w:p>
    <w:p>
      <w:pPr>
        <w:spacing w:line="400" w:lineRule="exact"/>
        <w:jc w:val="center"/>
        <w:textAlignment w:val="baseline"/>
        <w:rPr>
          <w:rFonts w:ascii="宋体" w:hAnsi="宋体"/>
          <w:b/>
          <w:sz w:val="32"/>
          <w:szCs w:val="32"/>
        </w:rPr>
      </w:pPr>
    </w:p>
    <w:p>
      <w:pPr>
        <w:spacing w:line="400" w:lineRule="exact"/>
        <w:jc w:val="center"/>
        <w:textAlignment w:val="baseline"/>
        <w:rPr>
          <w:rFonts w:ascii="宋体" w:hAnsi="宋体"/>
          <w:b/>
          <w:sz w:val="32"/>
          <w:szCs w:val="32"/>
        </w:rPr>
      </w:pPr>
    </w:p>
    <w:p>
      <w:pPr>
        <w:spacing w:line="400" w:lineRule="exact"/>
        <w:jc w:val="center"/>
        <w:textAlignment w:val="baseline"/>
        <w:rPr>
          <w:rFonts w:ascii="宋体" w:hAnsi="宋体"/>
          <w:b/>
          <w:sz w:val="32"/>
          <w:szCs w:val="32"/>
        </w:rPr>
      </w:pPr>
      <w:r>
        <w:rPr>
          <w:b/>
          <w:i/>
          <w:caps/>
        </w:rPr>
        <w:br w:type="textWrapping"/>
      </w:r>
    </w:p>
    <w:p>
      <w:pPr>
        <w:widowControl/>
        <w:jc w:val="left"/>
        <w:rPr>
          <w:rFonts w:ascii="宋体" w:hAnsi="宋体"/>
          <w:b/>
          <w:sz w:val="32"/>
          <w:szCs w:val="32"/>
        </w:rPr>
      </w:pPr>
      <w:r>
        <w:rPr>
          <w:rFonts w:ascii="宋体" w:hAnsi="宋体"/>
          <w:b/>
          <w:sz w:val="32"/>
          <w:szCs w:val="32"/>
        </w:rPr>
        <w:br w:type="page"/>
      </w:r>
    </w:p>
    <w:p>
      <w:pPr>
        <w:spacing w:line="400" w:lineRule="exact"/>
        <w:jc w:val="center"/>
        <w:textAlignment w:val="baseline"/>
        <w:rPr>
          <w:rFonts w:ascii="宋体" w:hAnsi="宋体"/>
          <w:b/>
          <w:sz w:val="32"/>
          <w:szCs w:val="32"/>
        </w:rPr>
      </w:pPr>
    </w:p>
    <w:p>
      <w:pPr>
        <w:pStyle w:val="4"/>
        <w:jc w:val="center"/>
        <w:textAlignment w:val="baseline"/>
      </w:pPr>
      <w:bookmarkStart w:id="0" w:name="_Toc47625214"/>
      <w:r>
        <w:rPr>
          <w:rFonts w:hint="eastAsia"/>
        </w:rPr>
        <w:t>第一章 竞争性磋商公告</w:t>
      </w:r>
      <w:bookmarkEnd w:id="0"/>
    </w:p>
    <w:p>
      <w:pPr>
        <w:spacing w:line="400" w:lineRule="exact"/>
        <w:textAlignment w:val="baseline"/>
        <w:rPr>
          <w:rFonts w:ascii="宋体" w:hAnsi="宋体"/>
          <w:sz w:val="20"/>
          <w:szCs w:val="21"/>
        </w:rPr>
      </w:pPr>
    </w:p>
    <w:p>
      <w:pPr>
        <w:wordWrap w:val="0"/>
        <w:spacing w:line="360" w:lineRule="exact"/>
        <w:ind w:firstLine="420" w:firstLineChars="200"/>
        <w:textAlignment w:val="baseline"/>
        <w:rPr>
          <w:rFonts w:ascii="宋体" w:hAnsi="宋体"/>
          <w:sz w:val="20"/>
          <w:szCs w:val="21"/>
        </w:rPr>
      </w:pPr>
      <w:bookmarkStart w:id="1" w:name="_Hlk37430271"/>
      <w:r>
        <w:rPr>
          <w:rFonts w:hint="eastAsia" w:ascii="宋体" w:hAnsi="宋体"/>
          <w:szCs w:val="21"/>
        </w:rPr>
        <w:t>广西南博国际会展有限责任公司针对会展大厦三楼食堂对外经营管理项目采用竞争性磋商方式进行采购，并于</w:t>
      </w:r>
      <w:r>
        <w:rPr>
          <w:rFonts w:hint="eastAsia" w:ascii="宋体" w:hAnsi="宋体"/>
          <w:szCs w:val="21"/>
          <w:u w:val="single" w:color="000000"/>
        </w:rPr>
        <w:t>202</w:t>
      </w:r>
      <w:r>
        <w:rPr>
          <w:rFonts w:hint="eastAsia" w:ascii="宋体" w:hAnsi="宋体"/>
          <w:szCs w:val="21"/>
          <w:u w:val="single" w:color="000000"/>
          <w:lang w:val="en-US" w:eastAsia="zh-CN"/>
        </w:rPr>
        <w:t>2</w:t>
      </w:r>
      <w:r>
        <w:rPr>
          <w:rFonts w:hint="eastAsia" w:ascii="宋体" w:hAnsi="宋体"/>
          <w:szCs w:val="21"/>
          <w:u w:val="single" w:color="000000"/>
        </w:rPr>
        <w:t>年</w:t>
      </w:r>
      <w:r>
        <w:rPr>
          <w:rFonts w:hint="eastAsia" w:ascii="宋体" w:hAnsi="宋体"/>
          <w:szCs w:val="21"/>
          <w:u w:val="single" w:color="000000"/>
          <w:lang w:val="en-US" w:eastAsia="zh-CN"/>
        </w:rPr>
        <w:t>7</w:t>
      </w:r>
      <w:r>
        <w:rPr>
          <w:rFonts w:hint="eastAsia" w:ascii="宋体" w:hAnsi="宋体"/>
          <w:szCs w:val="21"/>
          <w:u w:val="single" w:color="000000"/>
        </w:rPr>
        <w:t>月</w:t>
      </w:r>
      <w:r>
        <w:rPr>
          <w:rFonts w:hint="eastAsia" w:ascii="宋体" w:hAnsi="宋体"/>
          <w:szCs w:val="21"/>
          <w:u w:val="single" w:color="000000"/>
          <w:lang w:val="en-US" w:eastAsia="zh-CN"/>
        </w:rPr>
        <w:t>15</w:t>
      </w:r>
      <w:r>
        <w:rPr>
          <w:rFonts w:hint="eastAsia" w:ascii="宋体" w:hAnsi="宋体"/>
          <w:szCs w:val="21"/>
          <w:u w:val="single" w:color="000000"/>
        </w:rPr>
        <w:t>日</w:t>
      </w:r>
      <w:r>
        <w:rPr>
          <w:rFonts w:hint="eastAsia" w:ascii="宋体" w:hAnsi="宋体"/>
          <w:bCs/>
          <w:szCs w:val="21"/>
          <w:u w:val="single" w:color="000000"/>
          <w:lang w:val="en-US" w:eastAsia="zh-CN"/>
        </w:rPr>
        <w:t>12</w:t>
      </w:r>
      <w:r>
        <w:rPr>
          <w:rFonts w:hint="eastAsia" w:ascii="宋体" w:hAnsi="宋体"/>
          <w:bCs/>
          <w:szCs w:val="21"/>
          <w:u w:val="single" w:color="000000"/>
        </w:rPr>
        <w:t>时00分</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p>
      <w:pPr>
        <w:keepLines/>
        <w:wordWrap w:val="0"/>
        <w:spacing w:line="360" w:lineRule="exact"/>
        <w:ind w:firstLine="422" w:firstLineChars="200"/>
        <w:textAlignment w:val="baseline"/>
        <w:rPr>
          <w:rFonts w:ascii="宋体" w:hAnsi="宋体" w:eastAsia="黑体" w:cs="宋体"/>
          <w:b/>
          <w:sz w:val="20"/>
          <w:szCs w:val="21"/>
        </w:rPr>
      </w:pPr>
      <w:bookmarkStart w:id="2" w:name="_Toc47625215"/>
      <w:bookmarkStart w:id="3" w:name="_Toc45826837"/>
      <w:bookmarkStart w:id="4" w:name="_Toc44229878"/>
      <w:bookmarkStart w:id="5" w:name="_Toc44405619"/>
      <w:r>
        <w:rPr>
          <w:rFonts w:hint="eastAsia" w:ascii="宋体" w:hAnsi="宋体" w:eastAsia="黑体" w:cs="宋体"/>
          <w:b/>
          <w:szCs w:val="21"/>
        </w:rPr>
        <w:t>一、项目基本情况</w:t>
      </w:r>
      <w:bookmarkEnd w:id="2"/>
      <w:bookmarkEnd w:id="3"/>
      <w:bookmarkEnd w:id="4"/>
      <w:bookmarkEnd w:id="5"/>
    </w:p>
    <w:p>
      <w:pPr>
        <w:wordWrap w:val="0"/>
        <w:spacing w:line="360" w:lineRule="exact"/>
        <w:ind w:firstLine="420" w:firstLineChars="200"/>
        <w:textAlignment w:val="baseline"/>
        <w:rPr>
          <w:rFonts w:ascii="宋体" w:hAnsi="宋体"/>
          <w:sz w:val="20"/>
          <w:szCs w:val="21"/>
          <w:u w:val="single" w:color="000000"/>
        </w:rPr>
      </w:pPr>
      <w:r>
        <w:rPr>
          <w:rFonts w:hint="eastAsia" w:ascii="宋体" w:hAnsi="宋体"/>
          <w:szCs w:val="21"/>
        </w:rPr>
        <w:t>1</w:t>
      </w:r>
      <w:r>
        <w:rPr>
          <w:rFonts w:ascii="宋体" w:hAnsi="宋体"/>
          <w:szCs w:val="21"/>
        </w:rPr>
        <w:t>.</w:t>
      </w:r>
      <w:r>
        <w:rPr>
          <w:rFonts w:hint="eastAsia" w:ascii="宋体" w:hAnsi="宋体"/>
          <w:szCs w:val="21"/>
        </w:rPr>
        <w:t>项目名称：会展大厦三楼食堂对外经营管理采购</w:t>
      </w:r>
    </w:p>
    <w:p>
      <w:pPr>
        <w:wordWrap w:val="0"/>
        <w:spacing w:line="360" w:lineRule="exact"/>
        <w:ind w:firstLine="420" w:firstLineChars="200"/>
        <w:textAlignment w:val="baseline"/>
        <w:rPr>
          <w:rFonts w:ascii="宋体" w:hAnsi="宋体"/>
          <w:sz w:val="20"/>
          <w:szCs w:val="21"/>
        </w:rPr>
      </w:pPr>
      <w:r>
        <w:rPr>
          <w:rFonts w:hint="eastAsia" w:ascii="宋体" w:hAnsi="宋体"/>
          <w:szCs w:val="21"/>
          <w:lang w:val="en-US" w:eastAsia="zh-CN"/>
        </w:rPr>
        <w:t>2</w:t>
      </w:r>
      <w:r>
        <w:rPr>
          <w:rFonts w:ascii="宋体" w:hAnsi="宋体"/>
          <w:szCs w:val="21"/>
        </w:rPr>
        <w:t>.</w:t>
      </w:r>
      <w:r>
        <w:rPr>
          <w:rFonts w:hint="eastAsia" w:ascii="宋体" w:hAnsi="宋体"/>
          <w:szCs w:val="21"/>
        </w:rPr>
        <w:t>采购方式：竞争性磋商</w:t>
      </w:r>
    </w:p>
    <w:p>
      <w:pPr>
        <w:wordWrap w:val="0"/>
        <w:spacing w:line="360" w:lineRule="exact"/>
        <w:ind w:firstLine="420" w:firstLineChars="200"/>
        <w:textAlignment w:val="baseline"/>
        <w:rPr>
          <w:rFonts w:ascii="宋体" w:hAnsi="宋体"/>
          <w:sz w:val="20"/>
          <w:szCs w:val="21"/>
        </w:rPr>
      </w:pPr>
      <w:r>
        <w:rPr>
          <w:rFonts w:hint="eastAsia" w:ascii="宋体" w:hAnsi="宋体"/>
          <w:szCs w:val="21"/>
          <w:lang w:val="en-US" w:eastAsia="zh-CN"/>
        </w:rPr>
        <w:t>3</w:t>
      </w:r>
      <w:r>
        <w:rPr>
          <w:rFonts w:ascii="宋体" w:hAnsi="宋体"/>
          <w:szCs w:val="21"/>
        </w:rPr>
        <w:t>.</w:t>
      </w:r>
      <w:r>
        <w:rPr>
          <w:rFonts w:hint="eastAsia" w:ascii="宋体" w:hAnsi="宋体"/>
          <w:szCs w:val="21"/>
        </w:rPr>
        <w:t>采购需求：会展大厦三楼食堂对外经营管理服务1项。</w:t>
      </w:r>
    </w:p>
    <w:p>
      <w:pPr>
        <w:keepLines/>
        <w:wordWrap w:val="0"/>
        <w:spacing w:line="360" w:lineRule="exact"/>
        <w:ind w:firstLine="422" w:firstLineChars="200"/>
        <w:textAlignment w:val="baseline"/>
        <w:rPr>
          <w:rFonts w:ascii="宋体" w:hAnsi="宋体" w:eastAsia="黑体" w:cs="宋体"/>
          <w:b/>
          <w:sz w:val="20"/>
          <w:szCs w:val="21"/>
        </w:rPr>
      </w:pPr>
      <w:bookmarkStart w:id="6" w:name="_Toc44405620"/>
      <w:bookmarkStart w:id="7" w:name="_Toc45826840"/>
      <w:bookmarkStart w:id="8" w:name="_Toc44229879"/>
      <w:bookmarkStart w:id="9" w:name="_Toc47625216"/>
      <w:r>
        <w:rPr>
          <w:rFonts w:hint="eastAsia" w:ascii="宋体" w:hAnsi="宋体" w:eastAsia="黑体" w:cs="宋体"/>
          <w:b/>
          <w:szCs w:val="21"/>
        </w:rPr>
        <w:t>二、供应商的资格条件：</w:t>
      </w:r>
      <w:bookmarkEnd w:id="6"/>
      <w:bookmarkEnd w:id="7"/>
      <w:bookmarkEnd w:id="8"/>
      <w:bookmarkEnd w:id="9"/>
    </w:p>
    <w:p>
      <w:pPr>
        <w:snapToGrid w:val="0"/>
        <w:spacing w:line="360" w:lineRule="exact"/>
        <w:ind w:firstLine="420" w:firstLineChars="200"/>
        <w:rPr>
          <w:rFonts w:ascii="宋体" w:cs="Arial"/>
          <w:szCs w:val="21"/>
        </w:rPr>
      </w:pPr>
      <w:r>
        <w:rPr>
          <w:rFonts w:hint="eastAsia" w:ascii="宋体" w:hAnsi="宋体" w:cs="Arial"/>
          <w:szCs w:val="21"/>
        </w:rPr>
        <w:t>1.供应商应符合以下条件</w:t>
      </w:r>
    </w:p>
    <w:p>
      <w:pPr>
        <w:snapToGrid w:val="0"/>
        <w:spacing w:line="360" w:lineRule="exact"/>
        <w:ind w:firstLine="420" w:firstLineChars="200"/>
        <w:rPr>
          <w:rFonts w:ascii="宋体" w:cs="Arial"/>
          <w:szCs w:val="21"/>
        </w:rPr>
      </w:pPr>
      <w:r>
        <w:rPr>
          <w:rFonts w:hint="eastAsia" w:ascii="宋体" w:hAnsi="宋体" w:cs="Arial"/>
          <w:szCs w:val="21"/>
        </w:rPr>
        <w:t>（</w:t>
      </w:r>
      <w:r>
        <w:rPr>
          <w:rFonts w:ascii="宋体" w:hAnsi="宋体" w:cs="Arial"/>
          <w:szCs w:val="21"/>
        </w:rPr>
        <w:t>1</w:t>
      </w:r>
      <w:r>
        <w:rPr>
          <w:rFonts w:hint="eastAsia" w:ascii="宋体" w:hAnsi="宋体" w:cs="Arial"/>
          <w:szCs w:val="21"/>
        </w:rPr>
        <w:t>）国内注册（指按国家有关规定要求注册的），经营本次采购服务，具备法人资格的供应商。</w:t>
      </w:r>
    </w:p>
    <w:p>
      <w:pPr>
        <w:snapToGrid w:val="0"/>
        <w:spacing w:line="360" w:lineRule="exact"/>
        <w:ind w:firstLine="420" w:firstLineChars="200"/>
        <w:rPr>
          <w:rFonts w:ascii="宋体" w:cs="Arial"/>
          <w:szCs w:val="21"/>
        </w:rPr>
      </w:pPr>
      <w:r>
        <w:rPr>
          <w:rFonts w:hint="eastAsia" w:ascii="宋体" w:hAnsi="宋体" w:cs="Arial"/>
          <w:szCs w:val="21"/>
        </w:rPr>
        <w:t>（</w:t>
      </w:r>
      <w:r>
        <w:rPr>
          <w:rFonts w:ascii="宋体" w:hAnsi="宋体" w:cs="Arial"/>
          <w:szCs w:val="21"/>
        </w:rPr>
        <w:t>2</w:t>
      </w:r>
      <w:r>
        <w:rPr>
          <w:rFonts w:hint="eastAsia" w:ascii="宋体" w:hAnsi="宋体" w:cs="Arial"/>
          <w:szCs w:val="21"/>
        </w:rPr>
        <w:t>）具有独立承担民事责任的能力；</w:t>
      </w:r>
    </w:p>
    <w:p>
      <w:pPr>
        <w:snapToGrid w:val="0"/>
        <w:spacing w:line="360" w:lineRule="exact"/>
        <w:ind w:firstLine="420" w:firstLineChars="200"/>
        <w:rPr>
          <w:rFonts w:ascii="宋体" w:cs="Arial"/>
          <w:szCs w:val="21"/>
        </w:rPr>
      </w:pPr>
      <w:r>
        <w:rPr>
          <w:rFonts w:hint="eastAsia" w:ascii="宋体" w:hAnsi="宋体" w:cs="Arial"/>
          <w:szCs w:val="21"/>
        </w:rPr>
        <w:t>（</w:t>
      </w:r>
      <w:r>
        <w:rPr>
          <w:rFonts w:ascii="宋体" w:hAnsi="宋体" w:cs="Arial"/>
          <w:szCs w:val="21"/>
        </w:rPr>
        <w:t>3</w:t>
      </w:r>
      <w:r>
        <w:rPr>
          <w:rFonts w:hint="eastAsia" w:ascii="宋体" w:hAnsi="宋体" w:cs="Arial"/>
          <w:szCs w:val="21"/>
        </w:rPr>
        <w:t>）具有履行合同所必需的设备和专业技术能力；</w:t>
      </w:r>
    </w:p>
    <w:p>
      <w:pPr>
        <w:snapToGrid w:val="0"/>
        <w:spacing w:line="360" w:lineRule="exact"/>
        <w:ind w:firstLine="420" w:firstLineChars="200"/>
        <w:rPr>
          <w:rFonts w:ascii="宋体" w:cs="Arial"/>
          <w:szCs w:val="21"/>
        </w:rPr>
      </w:pPr>
      <w:r>
        <w:rPr>
          <w:rFonts w:hint="eastAsia" w:ascii="宋体" w:hAnsi="宋体" w:cs="Arial"/>
          <w:szCs w:val="21"/>
        </w:rPr>
        <w:t>（</w:t>
      </w:r>
      <w:r>
        <w:rPr>
          <w:rFonts w:ascii="宋体" w:hAnsi="宋体" w:cs="Arial"/>
          <w:szCs w:val="21"/>
        </w:rPr>
        <w:t>4</w:t>
      </w:r>
      <w:r>
        <w:rPr>
          <w:rFonts w:hint="eastAsia" w:ascii="宋体" w:hAnsi="宋体" w:cs="Arial"/>
          <w:szCs w:val="21"/>
        </w:rPr>
        <w:t>）有依法缴纳税收和社会保障资金的良好记录；</w:t>
      </w:r>
    </w:p>
    <w:p>
      <w:pPr>
        <w:wordWrap w:val="0"/>
        <w:spacing w:line="360" w:lineRule="exact"/>
        <w:ind w:firstLine="420" w:firstLineChars="200"/>
        <w:textAlignment w:val="baseline"/>
        <w:rPr>
          <w:rFonts w:hint="eastAsia" w:ascii="宋体" w:hAnsi="宋体" w:eastAsia="宋体" w:cs="Arial"/>
          <w:szCs w:val="21"/>
          <w:lang w:eastAsia="zh-CN"/>
        </w:rPr>
      </w:pPr>
      <w:r>
        <w:rPr>
          <w:rFonts w:hint="eastAsia" w:ascii="宋体" w:hAnsi="宋体" w:cs="Arial"/>
          <w:szCs w:val="21"/>
        </w:rPr>
        <w:t>（</w:t>
      </w:r>
      <w:r>
        <w:rPr>
          <w:rFonts w:ascii="宋体" w:hAnsi="宋体" w:cs="Arial"/>
          <w:szCs w:val="21"/>
        </w:rPr>
        <w:t>5</w:t>
      </w:r>
      <w:r>
        <w:rPr>
          <w:rFonts w:hint="eastAsia" w:ascii="宋体" w:hAnsi="宋体" w:cs="Arial"/>
          <w:szCs w:val="21"/>
        </w:rPr>
        <w:t>）参加采购活动前三年内，在经营活动中没有重大违法记录</w:t>
      </w:r>
      <w:r>
        <w:rPr>
          <w:rFonts w:hint="eastAsia" w:ascii="宋体" w:hAnsi="宋体" w:cs="Arial"/>
          <w:szCs w:val="21"/>
          <w:lang w:val="en-US" w:eastAsia="zh-CN"/>
        </w:rPr>
        <w:t>。</w:t>
      </w:r>
    </w:p>
    <w:p>
      <w:pPr>
        <w:wordWrap w:val="0"/>
        <w:spacing w:line="360" w:lineRule="exact"/>
        <w:ind w:firstLine="420" w:firstLineChars="200"/>
        <w:textAlignment w:val="baseline"/>
        <w:rPr>
          <w:rFonts w:ascii="宋体" w:hAnsi="宋体" w:cs="Arial"/>
          <w:szCs w:val="21"/>
        </w:rPr>
      </w:pPr>
      <w:r>
        <w:rPr>
          <w:rFonts w:ascii="宋体" w:hAnsi="宋体" w:cs="Arial"/>
          <w:szCs w:val="21"/>
        </w:rPr>
        <w:t>2</w:t>
      </w:r>
      <w:r>
        <w:rPr>
          <w:rFonts w:hint="eastAsia" w:ascii="宋体" w:hAnsi="宋体" w:cs="Arial"/>
          <w:szCs w:val="21"/>
        </w:rPr>
        <w:t>.具有有效的《食品经营许可证》</w:t>
      </w:r>
      <w:r>
        <w:rPr>
          <w:rFonts w:hint="eastAsia"/>
        </w:rPr>
        <w:t>。</w:t>
      </w:r>
    </w:p>
    <w:p>
      <w:pPr>
        <w:wordWrap w:val="0"/>
        <w:spacing w:line="360" w:lineRule="exact"/>
        <w:ind w:firstLine="420" w:firstLineChars="200"/>
        <w:textAlignment w:val="baseline"/>
        <w:rPr>
          <w:rFonts w:ascii="宋体" w:hAnsi="宋体" w:cs="Arial"/>
          <w:sz w:val="20"/>
          <w:szCs w:val="21"/>
        </w:rPr>
      </w:pPr>
      <w:r>
        <w:rPr>
          <w:rFonts w:hint="eastAsia" w:ascii="宋体" w:hAnsi="宋体" w:cs="Arial"/>
          <w:szCs w:val="21"/>
          <w:lang w:val="en-US" w:eastAsia="zh-CN"/>
        </w:rPr>
        <w:t>3</w:t>
      </w:r>
      <w:r>
        <w:rPr>
          <w:rFonts w:hint="eastAsia" w:ascii="宋体" w:hAnsi="宋体" w:cs="Arial"/>
          <w:szCs w:val="21"/>
        </w:rPr>
        <w:t>.单位负责人为同一人或者存在直接控股、管理关系的不同供应商，不得参加同一合同项下的采购活动。</w:t>
      </w:r>
    </w:p>
    <w:p>
      <w:pPr>
        <w:wordWrap w:val="0"/>
        <w:spacing w:line="360" w:lineRule="exact"/>
        <w:ind w:firstLine="420" w:firstLineChars="200"/>
        <w:textAlignment w:val="baseline"/>
        <w:rPr>
          <w:rFonts w:ascii="宋体" w:hAnsi="宋体" w:cs="Arial"/>
          <w:sz w:val="20"/>
          <w:szCs w:val="21"/>
        </w:rPr>
      </w:pPr>
      <w:r>
        <w:rPr>
          <w:rFonts w:hint="eastAsia" w:ascii="宋体" w:hAnsi="宋体" w:cs="Arial"/>
          <w:szCs w:val="21"/>
          <w:lang w:val="en-US" w:eastAsia="zh-CN"/>
        </w:rPr>
        <w:t>4</w:t>
      </w:r>
      <w:r>
        <w:rPr>
          <w:rFonts w:hint="eastAsia" w:ascii="宋体" w:hAnsi="宋体" w:cs="Arial"/>
          <w:szCs w:val="21"/>
        </w:rPr>
        <w:t>.对在“信用中国”网站(www.creditchina.gov.cn)、中国政府采购网(www.ccgp.gov.cn)等被列入失信被执行人、重大税收违法案件当事人名单、政府采购严重违法失信行为记录名单的供应商不得参与本项目采购活动。</w:t>
      </w:r>
    </w:p>
    <w:p>
      <w:pPr>
        <w:wordWrap w:val="0"/>
        <w:spacing w:line="360" w:lineRule="exact"/>
        <w:ind w:firstLine="420" w:firstLineChars="200"/>
        <w:textAlignment w:val="baseline"/>
        <w:rPr>
          <w:rFonts w:ascii="宋体" w:hAnsi="宋体"/>
          <w:sz w:val="20"/>
          <w:szCs w:val="21"/>
        </w:rPr>
      </w:pPr>
      <w:r>
        <w:rPr>
          <w:rFonts w:hint="eastAsia" w:ascii="宋体" w:hAnsi="宋体" w:cs="Arial"/>
          <w:szCs w:val="21"/>
          <w:lang w:val="en-US" w:eastAsia="zh-CN"/>
        </w:rPr>
        <w:t>5</w:t>
      </w:r>
      <w:r>
        <w:rPr>
          <w:rFonts w:hint="eastAsia" w:ascii="宋体" w:hAnsi="宋体" w:cs="Arial"/>
          <w:szCs w:val="21"/>
        </w:rPr>
        <w:t>.本项目不接受联合体磋商。</w:t>
      </w:r>
    </w:p>
    <w:p>
      <w:pPr>
        <w:wordWrap w:val="0"/>
        <w:spacing w:line="360" w:lineRule="exact"/>
        <w:ind w:firstLine="422" w:firstLineChars="200"/>
        <w:textAlignment w:val="baseline"/>
        <w:rPr>
          <w:rFonts w:ascii="宋体" w:hAnsi="宋体" w:eastAsia="黑体" w:cs="宋体"/>
          <w:b/>
          <w:sz w:val="20"/>
          <w:szCs w:val="21"/>
        </w:rPr>
      </w:pPr>
      <w:bookmarkStart w:id="10" w:name="_Toc44405621"/>
      <w:bookmarkStart w:id="11" w:name="_Toc45826841"/>
      <w:bookmarkStart w:id="12" w:name="_Toc44229880"/>
      <w:bookmarkStart w:id="13" w:name="_Toc47625217"/>
      <w:r>
        <w:rPr>
          <w:rFonts w:hint="eastAsia" w:ascii="宋体" w:hAnsi="宋体" w:eastAsia="黑体" w:cs="宋体"/>
          <w:b/>
          <w:szCs w:val="21"/>
        </w:rPr>
        <w:t>三、获取竞争性磋商文件</w:t>
      </w:r>
      <w:bookmarkEnd w:id="10"/>
      <w:bookmarkEnd w:id="11"/>
      <w:bookmarkEnd w:id="12"/>
      <w:bookmarkEnd w:id="13"/>
    </w:p>
    <w:p>
      <w:pPr>
        <w:wordWrap w:val="0"/>
        <w:spacing w:line="360" w:lineRule="exact"/>
        <w:ind w:firstLine="420" w:firstLineChars="200"/>
        <w:textAlignment w:val="baseline"/>
        <w:rPr>
          <w:rFonts w:ascii="宋体" w:hAnsi="宋体" w:cs="Arial"/>
          <w:sz w:val="20"/>
          <w:szCs w:val="21"/>
        </w:rPr>
      </w:pPr>
      <w:r>
        <w:rPr>
          <w:rFonts w:hint="eastAsia" w:ascii="宋体" w:hAnsi="宋体" w:cs="Arial"/>
          <w:szCs w:val="21"/>
        </w:rPr>
        <w:t>1.获取时间：自本公告发布之时起至</w:t>
      </w:r>
      <w:r>
        <w:rPr>
          <w:rFonts w:hint="eastAsia" w:ascii="宋体" w:hAnsi="宋体" w:cs="Arial"/>
          <w:szCs w:val="21"/>
          <w:u w:val="single" w:color="000000"/>
        </w:rPr>
        <w:t>202</w:t>
      </w:r>
      <w:r>
        <w:rPr>
          <w:rFonts w:hint="eastAsia" w:ascii="宋体" w:hAnsi="宋体" w:cs="Arial"/>
          <w:szCs w:val="21"/>
          <w:u w:val="single" w:color="000000"/>
          <w:lang w:val="en-US" w:eastAsia="zh-CN"/>
        </w:rPr>
        <w:t>2</w:t>
      </w:r>
      <w:r>
        <w:rPr>
          <w:rFonts w:hint="eastAsia" w:ascii="宋体" w:hAnsi="宋体" w:cs="Arial"/>
          <w:szCs w:val="21"/>
          <w:u w:val="single" w:color="000000"/>
        </w:rPr>
        <w:t>年</w:t>
      </w:r>
      <w:r>
        <w:rPr>
          <w:rFonts w:hint="eastAsia" w:ascii="宋体" w:hAnsi="宋体" w:cs="Arial"/>
          <w:szCs w:val="21"/>
          <w:u w:val="single" w:color="000000"/>
          <w:lang w:val="en-US" w:eastAsia="zh-CN"/>
        </w:rPr>
        <w:t>7</w:t>
      </w:r>
      <w:r>
        <w:rPr>
          <w:rFonts w:hint="eastAsia" w:ascii="宋体" w:hAnsi="宋体" w:cs="Arial"/>
          <w:szCs w:val="21"/>
          <w:u w:val="single" w:color="000000"/>
        </w:rPr>
        <w:t>月</w:t>
      </w:r>
      <w:r>
        <w:rPr>
          <w:rFonts w:hint="eastAsia" w:ascii="宋体" w:hAnsi="宋体" w:cs="Arial"/>
          <w:szCs w:val="21"/>
          <w:u w:val="single" w:color="000000"/>
          <w:lang w:val="en-US" w:eastAsia="zh-CN"/>
        </w:rPr>
        <w:t>14</w:t>
      </w:r>
      <w:r>
        <w:rPr>
          <w:rFonts w:hint="eastAsia" w:ascii="宋体" w:hAnsi="宋体" w:cs="Arial"/>
          <w:szCs w:val="21"/>
          <w:u w:val="single" w:color="000000"/>
        </w:rPr>
        <w:t>日</w:t>
      </w:r>
      <w:r>
        <w:rPr>
          <w:rFonts w:hint="eastAsia" w:ascii="宋体" w:hAnsi="宋体" w:cs="Arial"/>
          <w:szCs w:val="21"/>
          <w:u w:val="single" w:color="000000"/>
          <w:lang w:val="en-US" w:eastAsia="zh-CN"/>
        </w:rPr>
        <w:t>18</w:t>
      </w:r>
      <w:r>
        <w:rPr>
          <w:rFonts w:hint="eastAsia" w:ascii="宋体" w:hAnsi="宋体" w:cs="Arial"/>
          <w:szCs w:val="21"/>
          <w:u w:val="single" w:color="000000"/>
        </w:rPr>
        <w:t>时00分</w:t>
      </w:r>
      <w:r>
        <w:rPr>
          <w:rFonts w:hint="eastAsia" w:ascii="宋体" w:hAnsi="宋体" w:cs="Arial"/>
          <w:szCs w:val="21"/>
        </w:rPr>
        <w:t>。</w:t>
      </w:r>
    </w:p>
    <w:p>
      <w:pPr>
        <w:wordWrap w:val="0"/>
        <w:spacing w:line="360" w:lineRule="exact"/>
        <w:ind w:firstLine="420" w:firstLineChars="200"/>
        <w:textAlignment w:val="baseline"/>
        <w:rPr>
          <w:rFonts w:hint="eastAsia" w:ascii="宋体" w:hAnsi="宋体" w:eastAsia="宋体" w:cs="Arial"/>
          <w:sz w:val="20"/>
          <w:szCs w:val="21"/>
          <w:u w:val="single" w:color="000000"/>
          <w:lang w:eastAsia="zh-CN"/>
        </w:rPr>
      </w:pPr>
      <w:r>
        <w:rPr>
          <w:rFonts w:hint="eastAsia" w:ascii="宋体" w:hAnsi="宋体" w:cs="Arial"/>
          <w:szCs w:val="21"/>
        </w:rPr>
        <w:t>2.获取竞争性磋商文件的方式：法定代表人或委托代理人将有效的法人营业执照副本及企业资质证书扫描件、组织机构代码证及税务登记证副本扫描件（已三证合一不须提交）、法定代表人身份证扫描件、法人授权委托书原件及授权代理人身份证扫描件（委托代理时必须提供）、信用中国查询记录等材料（以上扫描材料均须加盖单位公章，并注明：</w:t>
      </w:r>
      <w:r>
        <w:rPr>
          <w:rFonts w:hint="eastAsia" w:ascii="宋体" w:hAnsi="宋体"/>
          <w:szCs w:val="21"/>
        </w:rPr>
        <w:t>会展大厦三楼食堂对外经营管理采购</w:t>
      </w:r>
      <w:r>
        <w:rPr>
          <w:rFonts w:hint="eastAsia" w:ascii="宋体" w:hAnsi="宋体" w:cs="Arial"/>
          <w:szCs w:val="21"/>
        </w:rPr>
        <w:t>项目报名用）在有效获取时间内发送至 gxnbgj@163.com ，采购人审核后将竞争性磋商文件电子版发送至相应邮箱</w:t>
      </w:r>
      <w:r>
        <w:rPr>
          <w:rFonts w:hint="eastAsia" w:ascii="宋体" w:hAnsi="宋体" w:cs="Arial"/>
          <w:szCs w:val="21"/>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2" w:firstLineChars="200"/>
        <w:jc w:val="left"/>
        <w:rPr>
          <w:rFonts w:ascii="黑体" w:hAnsi="宋体" w:eastAsia="黑体" w:cs="黑体"/>
          <w:i w:val="0"/>
          <w:caps w:val="0"/>
          <w:color w:val="333333"/>
          <w:spacing w:val="0"/>
          <w:sz w:val="21"/>
          <w:szCs w:val="21"/>
        </w:rPr>
      </w:pPr>
      <w:bookmarkStart w:id="14" w:name="_Toc44405624"/>
      <w:bookmarkStart w:id="15" w:name="_Toc44229883"/>
      <w:bookmarkStart w:id="16" w:name="_Toc47625220"/>
      <w:bookmarkStart w:id="17" w:name="_Toc45826844"/>
      <w:r>
        <w:rPr>
          <w:rFonts w:hint="eastAsia" w:ascii="宋体" w:hAnsi="宋体" w:eastAsia="黑体" w:cs="宋体"/>
          <w:b/>
          <w:szCs w:val="21"/>
          <w:lang w:val="en-US" w:eastAsia="zh-CN"/>
        </w:rPr>
        <w:t>四、响应文件递交截止时间和地点：</w:t>
      </w:r>
    </w:p>
    <w:p>
      <w:pPr>
        <w:wordWrap w:val="0"/>
        <w:spacing w:line="360" w:lineRule="exact"/>
        <w:ind w:firstLine="420" w:firstLineChars="200"/>
        <w:textAlignment w:val="baseline"/>
        <w:rPr>
          <w:rFonts w:hint="eastAsia" w:ascii="宋体" w:hAnsi="宋体" w:cs="Arial"/>
          <w:szCs w:val="21"/>
        </w:rPr>
      </w:pPr>
      <w:r>
        <w:rPr>
          <w:rFonts w:hint="eastAsia" w:ascii="宋体" w:hAnsi="宋体" w:cs="Arial"/>
          <w:szCs w:val="21"/>
          <w:lang w:val="en-US" w:eastAsia="zh-CN"/>
        </w:rPr>
        <w:t>磋商供应商应于2022年7月15日12时前（建议在开标前半小时送达或开标前一天送达），将响应文件密封提交到广西南博国际会展有限责任公司（南宁市青秀区会展路18号会展大厦12楼）1202会议室，逾期送达的将予以拒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2" w:firstLineChars="200"/>
        <w:jc w:val="left"/>
        <w:rPr>
          <w:rFonts w:hint="eastAsia" w:ascii="宋体" w:hAnsi="宋体" w:eastAsia="黑体" w:cs="宋体"/>
          <w:b/>
          <w:szCs w:val="21"/>
          <w:lang w:val="en-US" w:eastAsia="zh-CN"/>
        </w:rPr>
      </w:pPr>
      <w:r>
        <w:rPr>
          <w:rFonts w:hint="eastAsia" w:ascii="宋体" w:hAnsi="宋体" w:eastAsia="黑体" w:cs="宋体"/>
          <w:b/>
          <w:szCs w:val="21"/>
          <w:lang w:val="en-US" w:eastAsia="zh-CN"/>
        </w:rPr>
        <w:t>五、磋商时间及地点：</w:t>
      </w:r>
    </w:p>
    <w:p>
      <w:pPr>
        <w:wordWrap w:val="0"/>
        <w:spacing w:line="360" w:lineRule="exact"/>
        <w:ind w:firstLine="420" w:firstLineChars="200"/>
        <w:textAlignment w:val="baseline"/>
        <w:rPr>
          <w:rFonts w:hint="eastAsia" w:ascii="宋体" w:hAnsi="宋体" w:cs="Arial"/>
          <w:szCs w:val="21"/>
          <w:lang w:val="en-US" w:eastAsia="zh-CN"/>
        </w:rPr>
      </w:pPr>
      <w:r>
        <w:rPr>
          <w:rFonts w:hint="eastAsia" w:ascii="宋体" w:hAnsi="宋体" w:cs="Arial"/>
          <w:szCs w:val="21"/>
          <w:lang w:val="en-US" w:eastAsia="zh-CN"/>
        </w:rPr>
        <w:t>2022年7月 15日15时截标后为磋商小组与磋商供应商磋商时间，如有变动，则具体时间由采购人另行通知。地点：广西南博国际会展有限责任公司（南宁市青秀区会展路18号会展大厦12楼）1202会议室，参加磋商的法定代表人（负责人）或委托代理人必须持有效证件[法定代表人(负责人)凭身份证或委托代理人凭法人授权委托书原件和身份证]依时到达指定地点等候当面磋商。</w:t>
      </w:r>
    </w:p>
    <w:p>
      <w:pPr>
        <w:keepLines/>
        <w:wordWrap w:val="0"/>
        <w:spacing w:line="360" w:lineRule="exact"/>
        <w:ind w:firstLine="422" w:firstLineChars="200"/>
        <w:textAlignment w:val="baseline"/>
        <w:rPr>
          <w:rFonts w:ascii="宋体" w:hAnsi="宋体" w:eastAsia="黑体" w:cs="宋体"/>
          <w:b/>
          <w:bCs/>
          <w:sz w:val="20"/>
          <w:szCs w:val="21"/>
        </w:rPr>
      </w:pPr>
      <w:r>
        <w:rPr>
          <w:rFonts w:hint="eastAsia" w:ascii="宋体" w:hAnsi="宋体" w:eastAsia="黑体" w:cs="宋体"/>
          <w:b/>
          <w:szCs w:val="21"/>
        </w:rPr>
        <w:t>六、</w:t>
      </w:r>
      <w:bookmarkEnd w:id="14"/>
      <w:bookmarkEnd w:id="15"/>
      <w:r>
        <w:rPr>
          <w:rFonts w:hint="eastAsia" w:ascii="宋体" w:hAnsi="宋体" w:eastAsia="黑体" w:cs="宋体"/>
          <w:b/>
          <w:bCs/>
          <w:szCs w:val="21"/>
        </w:rPr>
        <w:t>公告期限</w:t>
      </w:r>
      <w:bookmarkEnd w:id="16"/>
      <w:bookmarkEnd w:id="17"/>
    </w:p>
    <w:p>
      <w:pPr>
        <w:wordWrap w:val="0"/>
        <w:spacing w:line="360" w:lineRule="exact"/>
        <w:ind w:firstLine="420" w:firstLineChars="200"/>
        <w:textAlignment w:val="baseline"/>
        <w:rPr>
          <w:rFonts w:ascii="宋体" w:hAnsi="宋体"/>
          <w:sz w:val="20"/>
          <w:szCs w:val="21"/>
        </w:rPr>
      </w:pPr>
      <w:r>
        <w:rPr>
          <w:rFonts w:hint="eastAsia" w:ascii="宋体" w:hAnsi="宋体"/>
          <w:szCs w:val="21"/>
        </w:rPr>
        <w:t>自本公告发布之日起</w:t>
      </w:r>
      <w:r>
        <w:rPr>
          <w:rFonts w:hint="eastAsia" w:ascii="宋体" w:hAnsi="宋体"/>
          <w:szCs w:val="21"/>
          <w:lang w:val="en-US" w:eastAsia="zh-CN"/>
        </w:rPr>
        <w:t>3</w:t>
      </w:r>
      <w:r>
        <w:rPr>
          <w:rFonts w:hint="eastAsia" w:ascii="宋体" w:hAnsi="宋体"/>
          <w:szCs w:val="21"/>
        </w:rPr>
        <w:t>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2" w:firstLineChars="200"/>
        <w:jc w:val="left"/>
        <w:rPr>
          <w:rFonts w:hint="eastAsia" w:ascii="宋体" w:hAnsi="宋体" w:eastAsia="黑体" w:cs="宋体"/>
          <w:b/>
          <w:szCs w:val="21"/>
          <w:lang w:val="en-US" w:eastAsia="zh-CN"/>
        </w:rPr>
      </w:pPr>
      <w:r>
        <w:rPr>
          <w:rFonts w:hint="eastAsia" w:ascii="宋体" w:hAnsi="宋体" w:eastAsia="黑体" w:cs="宋体"/>
          <w:b/>
          <w:szCs w:val="21"/>
          <w:lang w:val="en-US" w:eastAsia="zh-CN"/>
        </w:rPr>
        <w:t>七、业务咨询：</w:t>
      </w:r>
    </w:p>
    <w:p>
      <w:pPr>
        <w:wordWrap w:val="0"/>
        <w:spacing w:line="360" w:lineRule="exact"/>
        <w:ind w:firstLine="420" w:firstLineChars="200"/>
        <w:textAlignment w:val="baseline"/>
        <w:rPr>
          <w:rFonts w:hint="eastAsia" w:ascii="宋体" w:hAnsi="宋体" w:cs="Arial"/>
          <w:szCs w:val="21"/>
          <w:lang w:val="en-US" w:eastAsia="zh-CN"/>
        </w:rPr>
      </w:pPr>
      <w:r>
        <w:rPr>
          <w:rFonts w:hint="eastAsia" w:ascii="宋体" w:hAnsi="宋体" w:cs="Arial"/>
          <w:szCs w:val="21"/>
          <w:lang w:val="en-US" w:eastAsia="zh-CN"/>
        </w:rPr>
        <w:t>广西南博国际会展有限责任公司</w:t>
      </w:r>
    </w:p>
    <w:p>
      <w:pPr>
        <w:wordWrap w:val="0"/>
        <w:spacing w:line="360" w:lineRule="exact"/>
        <w:ind w:firstLine="420" w:firstLineChars="200"/>
        <w:textAlignment w:val="baseline"/>
        <w:rPr>
          <w:rFonts w:hint="default" w:ascii="宋体" w:hAnsi="宋体" w:cs="Arial"/>
          <w:szCs w:val="21"/>
          <w:lang w:val="en-US" w:eastAsia="zh-CN"/>
        </w:rPr>
      </w:pPr>
      <w:r>
        <w:rPr>
          <w:rFonts w:hint="eastAsia" w:ascii="宋体" w:hAnsi="宋体" w:cs="Arial"/>
          <w:szCs w:val="21"/>
          <w:lang w:val="en-US" w:eastAsia="zh-CN"/>
        </w:rPr>
        <w:t>联系人：李先生 ，联系电话：0771—2212632</w:t>
      </w:r>
    </w:p>
    <w:p>
      <w:pPr>
        <w:wordWrap w:val="0"/>
        <w:spacing w:line="360" w:lineRule="exact"/>
        <w:ind w:firstLine="420" w:firstLineChars="200"/>
        <w:textAlignment w:val="baseline"/>
        <w:rPr>
          <w:rFonts w:hint="eastAsia" w:ascii="宋体" w:hAnsi="宋体" w:cs="Arial"/>
          <w:szCs w:val="21"/>
          <w:lang w:val="en-US" w:eastAsia="zh-CN"/>
        </w:rPr>
      </w:pPr>
      <w:r>
        <w:rPr>
          <w:rFonts w:hint="eastAsia" w:ascii="宋体" w:hAnsi="宋体" w:cs="Arial"/>
          <w:szCs w:val="21"/>
          <w:lang w:val="en-US" w:eastAsia="zh-CN"/>
        </w:rPr>
        <w:t>地址：南宁市青秀区会展路18号会展大厦12楼 </w:t>
      </w:r>
    </w:p>
    <w:p>
      <w:pPr>
        <w:wordWrap w:val="0"/>
        <w:spacing w:line="360" w:lineRule="exact"/>
        <w:ind w:firstLine="420" w:firstLineChars="200"/>
        <w:textAlignment w:val="baseline"/>
        <w:rPr>
          <w:rFonts w:hint="eastAsia" w:ascii="宋体" w:hAnsi="宋体" w:cs="Arial"/>
          <w:szCs w:val="21"/>
          <w:lang w:val="en-US" w:eastAsia="zh-CN"/>
        </w:rPr>
      </w:pPr>
      <w:r>
        <w:rPr>
          <w:rFonts w:hint="eastAsia" w:ascii="宋体" w:hAnsi="宋体" w:cs="Arial"/>
          <w:szCs w:val="21"/>
          <w:lang w:val="en-US" w:eastAsia="zh-CN"/>
        </w:rPr>
        <w:t>邮编：530021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2" w:firstLineChars="200"/>
        <w:jc w:val="left"/>
        <w:rPr>
          <w:rFonts w:hint="eastAsia" w:ascii="宋体" w:hAnsi="宋体" w:eastAsia="黑体" w:cs="宋体"/>
          <w:b/>
          <w:szCs w:val="21"/>
          <w:lang w:val="en-US" w:eastAsia="zh-CN"/>
        </w:rPr>
      </w:pPr>
      <w:r>
        <w:rPr>
          <w:rFonts w:hint="eastAsia" w:ascii="宋体" w:hAnsi="宋体" w:eastAsia="黑体" w:cs="宋体"/>
          <w:b/>
          <w:szCs w:val="21"/>
          <w:lang w:val="en-US" w:eastAsia="zh-CN"/>
        </w:rPr>
        <w:t>八、监督与投诉：</w:t>
      </w:r>
    </w:p>
    <w:p>
      <w:pPr>
        <w:wordWrap w:val="0"/>
        <w:spacing w:line="360" w:lineRule="exact"/>
        <w:ind w:firstLine="420" w:firstLineChars="200"/>
        <w:textAlignment w:val="baseline"/>
        <w:rPr>
          <w:rFonts w:hint="eastAsia" w:ascii="宋体" w:hAnsi="宋体" w:cs="Arial"/>
          <w:szCs w:val="21"/>
          <w:lang w:val="en-US" w:eastAsia="zh-CN"/>
        </w:rPr>
      </w:pPr>
      <w:r>
        <w:rPr>
          <w:rFonts w:hint="eastAsia" w:ascii="宋体" w:hAnsi="宋体" w:cs="Arial"/>
          <w:szCs w:val="21"/>
          <w:lang w:val="en-US" w:eastAsia="zh-CN"/>
        </w:rPr>
        <w:t>广西国际博览集团有限公司</w:t>
      </w:r>
    </w:p>
    <w:p>
      <w:pPr>
        <w:wordWrap w:val="0"/>
        <w:spacing w:line="360" w:lineRule="exact"/>
        <w:ind w:firstLine="420" w:firstLineChars="200"/>
        <w:textAlignment w:val="baseline"/>
        <w:rPr>
          <w:rFonts w:hint="default" w:ascii="宋体" w:hAnsi="宋体" w:cs="Arial"/>
          <w:szCs w:val="21"/>
          <w:lang w:val="en-US" w:eastAsia="zh-CN"/>
        </w:rPr>
      </w:pPr>
      <w:r>
        <w:rPr>
          <w:rFonts w:hint="eastAsia" w:ascii="宋体" w:hAnsi="宋体" w:cs="Arial"/>
          <w:szCs w:val="21"/>
          <w:lang w:val="en-US" w:eastAsia="zh-CN"/>
        </w:rPr>
        <w:t>联系人</w:t>
      </w:r>
      <w:r>
        <w:rPr>
          <w:rFonts w:hint="eastAsia" w:ascii="宋体" w:hAnsi="宋体" w:cs="Arial"/>
          <w:color w:val="auto"/>
          <w:szCs w:val="21"/>
          <w:lang w:val="en-US" w:eastAsia="zh-CN"/>
        </w:rPr>
        <w:t>：周虹  ，联系电话：0771—2212640</w:t>
      </w:r>
    </w:p>
    <w:p>
      <w:pPr>
        <w:wordWrap w:val="0"/>
        <w:spacing w:line="360" w:lineRule="exact"/>
        <w:ind w:firstLine="420" w:firstLineChars="200"/>
        <w:textAlignment w:val="baseline"/>
        <w:rPr>
          <w:rFonts w:hint="eastAsia" w:ascii="宋体" w:hAnsi="宋体" w:cs="Arial"/>
          <w:szCs w:val="21"/>
          <w:lang w:val="en-US" w:eastAsia="zh-CN"/>
        </w:rPr>
      </w:pPr>
      <w:r>
        <w:rPr>
          <w:rFonts w:hint="eastAsia" w:ascii="宋体" w:hAnsi="宋体" w:cs="Arial"/>
          <w:szCs w:val="21"/>
          <w:lang w:val="en-US" w:eastAsia="zh-CN"/>
        </w:rPr>
        <w:t>地址：南宁市青秀区会展路18号会展大厦11楼，邮编：530021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2" w:firstLineChars="200"/>
        <w:jc w:val="left"/>
        <w:rPr>
          <w:rFonts w:hint="eastAsia" w:ascii="宋体" w:hAnsi="宋体" w:eastAsia="黑体" w:cs="宋体"/>
          <w:b/>
          <w:szCs w:val="21"/>
          <w:lang w:val="en-US" w:eastAsia="zh-CN"/>
        </w:rPr>
      </w:pPr>
      <w:r>
        <w:rPr>
          <w:rFonts w:hint="eastAsia" w:ascii="宋体" w:hAnsi="宋体" w:eastAsia="黑体" w:cs="宋体"/>
          <w:b/>
          <w:szCs w:val="21"/>
          <w:lang w:val="en-US" w:eastAsia="zh-CN"/>
        </w:rPr>
        <w:t>九、网上公告媒体查询：</w:t>
      </w:r>
    </w:p>
    <w:p>
      <w:pPr>
        <w:wordWrap w:val="0"/>
        <w:spacing w:line="360" w:lineRule="exact"/>
        <w:ind w:firstLine="420" w:firstLineChars="200"/>
        <w:textAlignment w:val="baseline"/>
        <w:rPr>
          <w:rFonts w:hint="default" w:ascii="宋体" w:hAnsi="宋体" w:cs="Arial"/>
          <w:szCs w:val="21"/>
          <w:lang w:val="en-US" w:eastAsia="zh-CN"/>
        </w:rPr>
      </w:pPr>
      <w:r>
        <w:rPr>
          <w:rFonts w:hint="eastAsia" w:ascii="宋体" w:hAnsi="宋体" w:cs="Arial"/>
          <w:szCs w:val="21"/>
          <w:lang w:val="en-US" w:eastAsia="zh-CN"/>
        </w:rPr>
        <w:t>广西国际博览集团有限公司官方网站（http://www.gxexpogp.cn）及官方微信、广西南博国际会展有限责任公司官方微信、会展时空app。</w:t>
      </w:r>
    </w:p>
    <w:p>
      <w:pPr>
        <w:wordWrap w:val="0"/>
        <w:spacing w:line="360" w:lineRule="exact"/>
        <w:ind w:firstLine="600" w:firstLineChars="300"/>
        <w:jc w:val="right"/>
        <w:textAlignment w:val="baseline"/>
        <w:rPr>
          <w:rFonts w:ascii="宋体" w:hAnsi="宋体"/>
          <w:sz w:val="20"/>
          <w:szCs w:val="21"/>
          <w:u w:val="single" w:color="000000"/>
        </w:rPr>
      </w:pPr>
    </w:p>
    <w:p>
      <w:pPr>
        <w:wordWrap w:val="0"/>
        <w:spacing w:line="360" w:lineRule="exact"/>
        <w:ind w:firstLine="630" w:firstLineChars="300"/>
        <w:jc w:val="right"/>
        <w:textAlignment w:val="baseline"/>
        <w:rPr>
          <w:rFonts w:ascii="宋体" w:hAnsi="宋体"/>
          <w:sz w:val="20"/>
          <w:szCs w:val="21"/>
        </w:rPr>
      </w:pPr>
      <w:r>
        <w:rPr>
          <w:rFonts w:hint="eastAsia" w:ascii="宋体" w:hAnsi="宋体"/>
          <w:szCs w:val="21"/>
        </w:rPr>
        <w:t>广西南博国际会展有限责任公司</w:t>
      </w:r>
    </w:p>
    <w:p>
      <w:pPr>
        <w:wordWrap w:val="0"/>
        <w:snapToGrid w:val="0"/>
        <w:spacing w:line="360" w:lineRule="exact"/>
        <w:ind w:firstLine="420" w:firstLineChars="200"/>
        <w:jc w:val="center"/>
        <w:textAlignment w:val="baseline"/>
        <w:rPr>
          <w:rFonts w:ascii="宋体" w:hAnsi="宋体"/>
          <w:sz w:val="20"/>
          <w:szCs w:val="21"/>
        </w:rPr>
      </w:pPr>
      <w:r>
        <w:rPr>
          <w:rFonts w:hint="eastAsia" w:ascii="宋体" w:hAnsi="宋体"/>
          <w:szCs w:val="21"/>
          <w:lang w:val="en-US" w:eastAsia="zh-CN"/>
        </w:rPr>
        <w:t xml:space="preserve">                                                      </w:t>
      </w:r>
      <w:r>
        <w:rPr>
          <w:rFonts w:hint="eastAsia" w:ascii="宋体" w:hAnsi="宋体"/>
          <w:szCs w:val="21"/>
        </w:rPr>
        <w:t>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w:t>
      </w:r>
      <w:bookmarkEnd w:id="1"/>
    </w:p>
    <w:p>
      <w:pPr>
        <w:spacing w:line="400" w:lineRule="exact"/>
        <w:jc w:val="center"/>
        <w:textAlignment w:val="baseline"/>
        <w:rPr>
          <w:rFonts w:ascii="宋体" w:hAnsi="宋体"/>
          <w:b/>
          <w:sz w:val="32"/>
          <w:szCs w:val="32"/>
        </w:rPr>
      </w:pPr>
    </w:p>
    <w:p>
      <w:pPr>
        <w:pStyle w:val="4"/>
        <w:jc w:val="center"/>
        <w:textAlignment w:val="baseline"/>
        <w:rPr>
          <w:rFonts w:hint="eastAsia"/>
        </w:rPr>
      </w:pPr>
      <w:bookmarkStart w:id="18" w:name="_Toc47625223"/>
    </w:p>
    <w:p>
      <w:pPr>
        <w:pStyle w:val="4"/>
        <w:jc w:val="center"/>
        <w:textAlignment w:val="baseline"/>
        <w:rPr>
          <w:rFonts w:hint="eastAsia"/>
        </w:rPr>
      </w:pPr>
    </w:p>
    <w:p>
      <w:pPr>
        <w:pStyle w:val="4"/>
        <w:jc w:val="center"/>
        <w:textAlignment w:val="baseline"/>
        <w:rPr>
          <w:rFonts w:hint="eastAsia"/>
        </w:rPr>
      </w:pPr>
    </w:p>
    <w:p>
      <w:pPr>
        <w:pStyle w:val="4"/>
        <w:jc w:val="center"/>
        <w:textAlignment w:val="baseline"/>
        <w:rPr>
          <w:rFonts w:hint="eastAsia"/>
        </w:rPr>
      </w:pPr>
    </w:p>
    <w:p>
      <w:pPr>
        <w:pStyle w:val="4"/>
        <w:ind w:firstLine="3213" w:firstLineChars="1000"/>
        <w:jc w:val="both"/>
        <w:textAlignment w:val="baseline"/>
        <w:rPr>
          <w:rFonts w:hint="eastAsia"/>
        </w:rPr>
      </w:pPr>
    </w:p>
    <w:p>
      <w:pPr>
        <w:pStyle w:val="4"/>
        <w:ind w:firstLine="3213" w:firstLineChars="1000"/>
        <w:jc w:val="both"/>
        <w:textAlignment w:val="baseline"/>
      </w:pPr>
      <w:r>
        <w:rPr>
          <w:rFonts w:hint="eastAsia"/>
        </w:rPr>
        <w:t>第二章磋商须知</w:t>
      </w:r>
      <w:bookmarkEnd w:id="18"/>
    </w:p>
    <w:p>
      <w:pPr>
        <w:spacing w:line="400" w:lineRule="exact"/>
        <w:jc w:val="center"/>
        <w:textAlignment w:val="baseline"/>
        <w:rPr>
          <w:rFonts w:ascii="宋体" w:hAnsi="宋体"/>
          <w:b/>
          <w:sz w:val="32"/>
          <w:szCs w:val="32"/>
        </w:rPr>
      </w:pPr>
      <w:r>
        <w:rPr>
          <w:rFonts w:hint="eastAsia" w:ascii="宋体" w:hAnsi="宋体"/>
          <w:b/>
          <w:sz w:val="32"/>
          <w:szCs w:val="32"/>
        </w:rPr>
        <w:t>供应商须知前附表</w:t>
      </w:r>
    </w:p>
    <w:p>
      <w:pPr>
        <w:spacing w:line="400" w:lineRule="exact"/>
        <w:jc w:val="center"/>
        <w:textAlignment w:val="baseline"/>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tbl>
      <w:tblPr>
        <w:tblStyle w:val="51"/>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spacing w:line="320" w:lineRule="exact"/>
              <w:jc w:val="center"/>
              <w:textAlignment w:val="baseline"/>
              <w:rPr>
                <w:rFonts w:ascii="宋体" w:hAnsi="宋体" w:cs="宋体"/>
                <w:b/>
                <w:sz w:val="20"/>
                <w:szCs w:val="21"/>
              </w:rPr>
            </w:pPr>
            <w:r>
              <w:rPr>
                <w:rFonts w:hint="eastAsia" w:ascii="宋体" w:hAnsi="宋体" w:cs="宋体"/>
                <w:b/>
                <w:szCs w:val="21"/>
              </w:rPr>
              <w:t>条款号</w:t>
            </w:r>
          </w:p>
        </w:tc>
        <w:tc>
          <w:tcPr>
            <w:tcW w:w="7912" w:type="dxa"/>
          </w:tcPr>
          <w:p>
            <w:pPr>
              <w:spacing w:line="320" w:lineRule="exact"/>
              <w:jc w:val="center"/>
              <w:textAlignment w:val="baseline"/>
              <w:rPr>
                <w:rFonts w:ascii="宋体" w:hAnsi="宋体" w:cs="宋体"/>
                <w:b/>
                <w:sz w:val="20"/>
                <w:szCs w:val="21"/>
              </w:rPr>
            </w:pPr>
            <w:r>
              <w:rPr>
                <w:rFonts w:hint="eastAsia" w:ascii="宋体" w:hAnsi="宋体" w:cs="宋体"/>
                <w:b/>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textAlignment w:val="baseline"/>
              <w:rPr>
                <w:rFonts w:ascii="宋体" w:hAnsi="宋体" w:cs="宋体"/>
                <w:sz w:val="20"/>
                <w:szCs w:val="21"/>
              </w:rPr>
            </w:pPr>
            <w:r>
              <w:rPr>
                <w:rFonts w:hint="eastAsia" w:ascii="宋体" w:hAnsi="宋体" w:cs="宋体"/>
                <w:szCs w:val="21"/>
              </w:rPr>
              <w:t>3</w:t>
            </w:r>
          </w:p>
        </w:tc>
        <w:tc>
          <w:tcPr>
            <w:tcW w:w="7912" w:type="dxa"/>
            <w:vAlign w:val="center"/>
          </w:tcPr>
          <w:p>
            <w:pPr>
              <w:spacing w:line="320" w:lineRule="exact"/>
              <w:textAlignment w:val="baseline"/>
              <w:rPr>
                <w:rFonts w:ascii="宋体" w:hAnsi="宋体" w:cs="宋体"/>
                <w:sz w:val="20"/>
                <w:szCs w:val="21"/>
              </w:rPr>
            </w:pPr>
            <w:r>
              <w:rPr>
                <w:rFonts w:hint="eastAsia" w:ascii="宋体" w:hAnsi="宋体" w:cs="宋体"/>
                <w:bCs/>
                <w:szCs w:val="21"/>
              </w:rPr>
              <w:t>供应商的资格条件</w:t>
            </w:r>
            <w:r>
              <w:rPr>
                <w:rFonts w:hint="eastAsia" w:ascii="宋体" w:hAnsi="宋体" w:cs="宋体"/>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textAlignment w:val="baseline"/>
              <w:rPr>
                <w:rFonts w:ascii="宋体" w:hAnsi="宋体" w:cs="宋体"/>
                <w:sz w:val="20"/>
                <w:szCs w:val="21"/>
              </w:rPr>
            </w:pPr>
            <w:r>
              <w:rPr>
                <w:rFonts w:hint="eastAsia" w:ascii="宋体" w:hAnsi="宋体" w:cs="宋体"/>
                <w:szCs w:val="21"/>
              </w:rPr>
              <w:t>5.1</w:t>
            </w:r>
          </w:p>
        </w:tc>
        <w:tc>
          <w:tcPr>
            <w:tcW w:w="7912" w:type="dxa"/>
            <w:vAlign w:val="center"/>
          </w:tcPr>
          <w:p>
            <w:pPr>
              <w:spacing w:line="320" w:lineRule="exact"/>
              <w:textAlignment w:val="baseline"/>
              <w:rPr>
                <w:rFonts w:ascii="宋体" w:hAnsi="宋体" w:cs="宋体"/>
                <w:sz w:val="20"/>
                <w:szCs w:val="21"/>
              </w:rPr>
            </w:pPr>
            <w:r>
              <w:rPr>
                <w:rFonts w:hint="eastAsia" w:ascii="宋体" w:hAnsi="宋体" w:cs="宋体"/>
                <w:szCs w:val="21"/>
              </w:rPr>
              <w:t>是否接受联合体竞标:详见竞争性磋商公告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textAlignment w:val="baseline"/>
              <w:rPr>
                <w:rFonts w:ascii="宋体" w:hAnsi="宋体" w:cs="宋体"/>
                <w:sz w:val="20"/>
                <w:szCs w:val="21"/>
              </w:rPr>
            </w:pPr>
            <w:r>
              <w:rPr>
                <w:rFonts w:hint="eastAsia" w:ascii="宋体" w:hAnsi="宋体" w:cs="宋体"/>
                <w:szCs w:val="21"/>
              </w:rPr>
              <w:t>6.2</w:t>
            </w:r>
          </w:p>
        </w:tc>
        <w:tc>
          <w:tcPr>
            <w:tcW w:w="7912" w:type="dxa"/>
            <w:vAlign w:val="center"/>
          </w:tcPr>
          <w:p>
            <w:pPr>
              <w:spacing w:line="320" w:lineRule="exact"/>
              <w:jc w:val="left"/>
              <w:textAlignment w:val="baseline"/>
              <w:rPr>
                <w:rFonts w:ascii="宋体" w:hAnsi="宋体" w:cs="宋体"/>
                <w:sz w:val="20"/>
                <w:szCs w:val="21"/>
              </w:rPr>
            </w:pPr>
            <w:r>
              <w:rPr>
                <w:rFonts w:hint="eastAsia" w:ascii="宋体" w:hAnsi="宋体" w:cs="宋体"/>
                <w:szCs w:val="21"/>
              </w:rPr>
              <w:t>是否允许分包：□允许/√不允许</w:t>
            </w:r>
          </w:p>
          <w:p>
            <w:pPr>
              <w:spacing w:line="320" w:lineRule="exact"/>
              <w:jc w:val="left"/>
              <w:textAlignment w:val="baseline"/>
              <w:rPr>
                <w:rFonts w:ascii="宋体" w:hAnsi="宋体" w:cs="宋体"/>
                <w:sz w:val="20"/>
                <w:szCs w:val="21"/>
              </w:rPr>
            </w:pPr>
            <w:r>
              <w:rPr>
                <w:rFonts w:hint="eastAsia" w:ascii="宋体" w:hAnsi="宋体" w:cs="宋体"/>
                <w:szCs w:val="21"/>
              </w:rPr>
              <w:t>如允许分包，但主体、关键性工作不允许分包；分包履行的具体内容、金额或者比例如下：</w:t>
            </w:r>
          </w:p>
          <w:p>
            <w:pPr>
              <w:spacing w:line="320" w:lineRule="exact"/>
              <w:jc w:val="left"/>
              <w:textAlignment w:val="baseline"/>
              <w:rPr>
                <w:rFonts w:ascii="宋体" w:hAnsi="宋体" w:cs="宋体"/>
                <w:sz w:val="20"/>
                <w:szCs w:val="21"/>
                <w:u w:val="single" w:color="000000"/>
              </w:rPr>
            </w:pPr>
            <w:r>
              <w:rPr>
                <w:rFonts w:hint="eastAsia" w:ascii="宋体" w:hAnsi="宋体" w:cs="宋体"/>
                <w:szCs w:val="21"/>
              </w:rPr>
              <w:t>具体内容：</w:t>
            </w:r>
            <w:r>
              <w:rPr>
                <w:rFonts w:hint="eastAsia" w:ascii="宋体" w:hAnsi="宋体" w:cs="宋体"/>
                <w:szCs w:val="21"/>
                <w:u w:val="single" w:color="000000"/>
              </w:rPr>
              <w:t xml:space="preserve">            /                         </w:t>
            </w:r>
            <w:r>
              <w:rPr>
                <w:rFonts w:hint="eastAsia" w:ascii="宋体" w:hAnsi="宋体" w:cs="宋体"/>
                <w:szCs w:val="21"/>
              </w:rPr>
              <w:t>。</w:t>
            </w:r>
          </w:p>
          <w:p>
            <w:pPr>
              <w:spacing w:line="320" w:lineRule="exact"/>
              <w:textAlignment w:val="baseline"/>
              <w:rPr>
                <w:rFonts w:ascii="宋体" w:hAnsi="宋体" w:cs="宋体"/>
                <w:sz w:val="20"/>
                <w:szCs w:val="21"/>
                <w:u w:val="single" w:color="000000"/>
              </w:rPr>
            </w:pPr>
            <w:r>
              <w:rPr>
                <w:rFonts w:hint="eastAsia" w:ascii="宋体" w:hAnsi="宋体" w:cs="宋体"/>
                <w:szCs w:val="21"/>
              </w:rPr>
              <w:t>具体金额：</w:t>
            </w:r>
            <w:r>
              <w:rPr>
                <w:rFonts w:hint="eastAsia" w:ascii="宋体" w:hAnsi="宋体" w:cs="宋体"/>
                <w:szCs w:val="21"/>
                <w:u w:val="single" w:color="000000"/>
              </w:rPr>
              <w:t xml:space="preserve">            /                         </w:t>
            </w:r>
            <w:r>
              <w:rPr>
                <w:rFonts w:hint="eastAsia" w:ascii="宋体" w:hAnsi="宋体" w:cs="宋体"/>
                <w:szCs w:val="21"/>
              </w:rPr>
              <w:t>。</w:t>
            </w:r>
          </w:p>
          <w:p>
            <w:pPr>
              <w:spacing w:line="320" w:lineRule="exact"/>
              <w:jc w:val="left"/>
              <w:textAlignment w:val="baseline"/>
              <w:rPr>
                <w:rFonts w:ascii="宋体" w:hAnsi="宋体" w:cs="宋体"/>
                <w:sz w:val="20"/>
                <w:szCs w:val="21"/>
              </w:rPr>
            </w:pPr>
            <w:r>
              <w:rPr>
                <w:rFonts w:hint="eastAsia" w:ascii="宋体" w:hAnsi="宋体" w:cs="宋体"/>
                <w:szCs w:val="21"/>
              </w:rPr>
              <w:t>具体比例：</w:t>
            </w:r>
            <w:r>
              <w:rPr>
                <w:rFonts w:hint="eastAsia" w:ascii="宋体" w:hAnsi="宋体" w:cs="宋体"/>
                <w:szCs w:val="21"/>
                <w:u w:val="single" w:color="000000"/>
              </w:rPr>
              <w:t xml:space="preserve">            /                         </w:t>
            </w:r>
            <w:r>
              <w:rPr>
                <w:rFonts w:hint="eastAsia"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textAlignment w:val="baseline"/>
              <w:rPr>
                <w:rFonts w:ascii="宋体" w:hAnsi="宋体" w:cs="宋体"/>
                <w:sz w:val="20"/>
                <w:szCs w:val="21"/>
              </w:rPr>
            </w:pPr>
            <w:r>
              <w:rPr>
                <w:rFonts w:hint="eastAsia" w:ascii="宋体" w:hAnsi="宋体" w:cs="宋体"/>
                <w:szCs w:val="21"/>
              </w:rPr>
              <w:t>12.1.</w:t>
            </w:r>
            <w:r>
              <w:rPr>
                <w:rFonts w:ascii="宋体" w:hAnsi="宋体" w:cs="宋体"/>
                <w:szCs w:val="21"/>
              </w:rPr>
              <w:t>1</w:t>
            </w:r>
          </w:p>
        </w:tc>
        <w:tc>
          <w:tcPr>
            <w:tcW w:w="7912" w:type="dxa"/>
            <w:vAlign w:val="center"/>
          </w:tcPr>
          <w:p>
            <w:pPr>
              <w:snapToGrid w:val="0"/>
              <w:spacing w:line="320" w:lineRule="exact"/>
              <w:jc w:val="left"/>
              <w:textAlignment w:val="baseline"/>
              <w:rPr>
                <w:rFonts w:ascii="宋体" w:hAnsi="宋体" w:cs="宋体"/>
                <w:b/>
                <w:sz w:val="20"/>
                <w:szCs w:val="21"/>
              </w:rPr>
            </w:pPr>
            <w:r>
              <w:rPr>
                <w:rFonts w:hint="eastAsia" w:ascii="宋体" w:hAnsi="宋体" w:cs="宋体"/>
                <w:b/>
                <w:szCs w:val="21"/>
              </w:rPr>
              <w:t>资格证明文件</w:t>
            </w:r>
          </w:p>
          <w:p>
            <w:pPr>
              <w:jc w:val="left"/>
              <w:textAlignment w:val="baseline"/>
              <w:rPr>
                <w:rFonts w:ascii="宋体" w:hAnsi="宋体" w:cs="宋体"/>
                <w:szCs w:val="21"/>
              </w:rPr>
            </w:pPr>
            <w:r>
              <w:rPr>
                <w:rFonts w:hint="eastAsia" w:ascii="宋体" w:hAnsi="宋体" w:cs="宋体"/>
                <w:szCs w:val="21"/>
              </w:rPr>
              <w:t>1. 法人或者其他组织的营业执照等证明文件（如营业执照或事业单位法人证书或执业许可证等）；（</w:t>
            </w:r>
            <w:r>
              <w:rPr>
                <w:rFonts w:hint="eastAsia" w:ascii="宋体" w:hAnsi="宋体" w:cs="宋体"/>
                <w:b/>
                <w:szCs w:val="21"/>
              </w:rPr>
              <w:t>必须提供，否则响应文件按无效响应处理</w:t>
            </w:r>
            <w:r>
              <w:rPr>
                <w:rFonts w:hint="eastAsia" w:ascii="宋体" w:hAnsi="宋体" w:cs="宋体"/>
                <w:szCs w:val="21"/>
              </w:rPr>
              <w:t>）</w:t>
            </w:r>
          </w:p>
          <w:p>
            <w:pPr>
              <w:pStyle w:val="2"/>
              <w:rPr>
                <w:rFonts w:ascii="宋体" w:hAnsi="宋体" w:cs="宋体"/>
                <w:b/>
                <w:kern w:val="2"/>
                <w:sz w:val="21"/>
                <w:szCs w:val="21"/>
              </w:rPr>
            </w:pPr>
            <w:r>
              <w:rPr>
                <w:rFonts w:hint="eastAsia" w:ascii="宋体" w:hAnsi="宋体" w:cs="宋体"/>
                <w:kern w:val="2"/>
                <w:sz w:val="21"/>
                <w:szCs w:val="21"/>
              </w:rPr>
              <w:t>2.</w:t>
            </w:r>
            <w:r>
              <w:rPr>
                <w:rFonts w:ascii="宋体" w:hAnsi="宋体" w:cs="宋体"/>
                <w:kern w:val="2"/>
                <w:sz w:val="21"/>
                <w:szCs w:val="21"/>
              </w:rPr>
              <w:t xml:space="preserve"> </w:t>
            </w:r>
            <w:r>
              <w:rPr>
                <w:rFonts w:hint="eastAsia" w:ascii="宋体" w:hAnsi="宋体" w:cs="宋体"/>
                <w:kern w:val="2"/>
                <w:sz w:val="21"/>
                <w:szCs w:val="21"/>
              </w:rPr>
              <w:t>供应商</w:t>
            </w:r>
            <w:r>
              <w:rPr>
                <w:rFonts w:ascii="宋体" w:hAnsi="宋体" w:cs="宋体"/>
                <w:kern w:val="2"/>
                <w:sz w:val="21"/>
                <w:szCs w:val="21"/>
              </w:rPr>
              <w:t>有效的</w:t>
            </w:r>
            <w:r>
              <w:rPr>
                <w:rFonts w:hint="eastAsia" w:ascii="宋体" w:hAnsi="宋体" w:cs="宋体"/>
                <w:kern w:val="2"/>
                <w:sz w:val="21"/>
                <w:szCs w:val="21"/>
              </w:rPr>
              <w:t>《食品经营许可证》复印件</w:t>
            </w:r>
            <w:r>
              <w:rPr>
                <w:rFonts w:hint="eastAsia" w:ascii="宋体" w:hAnsi="宋体" w:cs="宋体"/>
                <w:b/>
                <w:kern w:val="2"/>
                <w:sz w:val="21"/>
                <w:szCs w:val="21"/>
              </w:rPr>
              <w:t>（必须提供，否则响应文件按无效响应处理）</w:t>
            </w:r>
          </w:p>
          <w:p>
            <w:pPr>
              <w:snapToGrid w:val="0"/>
              <w:spacing w:line="320" w:lineRule="exact"/>
              <w:jc w:val="left"/>
              <w:textAlignment w:val="baseline"/>
              <w:rPr>
                <w:rFonts w:ascii="宋体" w:hAnsi="宋体" w:cs="宋体"/>
                <w:sz w:val="20"/>
                <w:szCs w:val="21"/>
              </w:rPr>
            </w:pPr>
            <w:r>
              <w:rPr>
                <w:rFonts w:ascii="宋体" w:hAnsi="宋体" w:cs="宋体"/>
                <w:szCs w:val="21"/>
              </w:rPr>
              <w:t>3</w:t>
            </w:r>
            <w:r>
              <w:rPr>
                <w:rFonts w:hint="eastAsia" w:ascii="宋体" w:hAnsi="宋体" w:cs="宋体"/>
                <w:szCs w:val="21"/>
              </w:rPr>
              <w:t>. 竞标声明（格式后附）；（</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exact"/>
              <w:textAlignment w:val="baseline"/>
              <w:rPr>
                <w:rFonts w:ascii="宋体" w:hAnsi="宋体"/>
                <w:sz w:val="20"/>
                <w:szCs w:val="21"/>
              </w:rPr>
            </w:pPr>
            <w:r>
              <w:rPr>
                <w:rFonts w:ascii="宋体" w:hAnsi="宋体" w:cs="宋体"/>
                <w:szCs w:val="21"/>
              </w:rPr>
              <w:t>4</w:t>
            </w:r>
            <w:r>
              <w:rPr>
                <w:rFonts w:hint="eastAsia" w:ascii="宋体" w:hAnsi="宋体" w:cs="宋体"/>
                <w:szCs w:val="21"/>
              </w:rPr>
              <w:t xml:space="preserve">. </w:t>
            </w:r>
            <w:r>
              <w:rPr>
                <w:rFonts w:hint="eastAsia" w:ascii="宋体" w:hAnsi="宋体"/>
                <w:szCs w:val="21"/>
              </w:rPr>
              <w:t>响应文件递交截止之日前半年内供应商任意一个月的依法缴纳税费或依法免缴税费（包括无纳税记录或零报税）的证明（成立时间不足三个月的公司的按实际应产生月份提供证明）【证明材料可以是：由供应商所在地主管税务部门出具的《依法纳税或依法免税证明》或供应商在税务部门（或税务部门指定的银行）已缴纳税费的凭证复印件】；（格式自拟，复印件，原件备查）</w:t>
            </w:r>
            <w:r>
              <w:rPr>
                <w:rFonts w:hint="eastAsia" w:ascii="宋体" w:hAnsi="宋体" w:cs="宋体"/>
                <w:szCs w:val="21"/>
              </w:rPr>
              <w:t>（如有请</w:t>
            </w:r>
            <w:r>
              <w:rPr>
                <w:rFonts w:ascii="宋体" w:hAnsi="宋体" w:cs="宋体"/>
                <w:szCs w:val="21"/>
              </w:rPr>
              <w:t>提供</w:t>
            </w:r>
            <w:r>
              <w:rPr>
                <w:rFonts w:hint="eastAsia" w:ascii="宋体" w:hAnsi="宋体" w:cs="宋体"/>
                <w:szCs w:val="21"/>
              </w:rPr>
              <w:t>）</w:t>
            </w:r>
          </w:p>
          <w:p>
            <w:pPr>
              <w:spacing w:line="360" w:lineRule="exact"/>
              <w:textAlignment w:val="baseline"/>
              <w:rPr>
                <w:rFonts w:ascii="宋体" w:hAnsi="宋体"/>
                <w:sz w:val="20"/>
                <w:szCs w:val="21"/>
              </w:rPr>
            </w:pPr>
            <w:r>
              <w:rPr>
                <w:rFonts w:hint="eastAsia" w:ascii="宋体" w:hAnsi="宋体"/>
                <w:szCs w:val="21"/>
                <w:lang w:val="en-US" w:eastAsia="zh-CN"/>
              </w:rPr>
              <w:t>5</w:t>
            </w:r>
            <w:r>
              <w:rPr>
                <w:rFonts w:ascii="宋体" w:hAnsi="宋体"/>
                <w:szCs w:val="21"/>
              </w:rPr>
              <w:t>.</w:t>
            </w:r>
            <w:r>
              <w:rPr>
                <w:rFonts w:hint="eastAsia" w:ascii="宋体" w:hAnsi="宋体"/>
                <w:szCs w:val="21"/>
              </w:rPr>
              <w:t>响应文件递交截止之日前半年内供应商任意一个月的依法缴纳社保费或依法免缴社保费（包括无缴费记录）证明（成立时间不足三个月的公司的按实际应产生月份提供证明）【证明材料可以是：由供应商所在地有关行政主管部门出具的《依法缴纳或依法免缴社保费证明》或供应商在有关行政主管部门（或有关行政主管部门指定的银行）已缴纳税费的凭证复印件】；（格式自拟，复印件，原件备查）</w:t>
            </w:r>
            <w:r>
              <w:rPr>
                <w:rFonts w:hint="eastAsia" w:ascii="宋体" w:hAnsi="宋体" w:cs="宋体"/>
                <w:szCs w:val="21"/>
              </w:rPr>
              <w:t>（如有请</w:t>
            </w:r>
            <w:r>
              <w:rPr>
                <w:rFonts w:ascii="宋体" w:hAnsi="宋体" w:cs="宋体"/>
                <w:szCs w:val="21"/>
              </w:rPr>
              <w:t>提供</w:t>
            </w:r>
            <w:r>
              <w:rPr>
                <w:rFonts w:hint="eastAsia" w:ascii="宋体" w:hAnsi="宋体" w:cs="宋体"/>
                <w:szCs w:val="21"/>
              </w:rPr>
              <w:t>）</w:t>
            </w:r>
          </w:p>
          <w:p>
            <w:pPr>
              <w:snapToGrid w:val="0"/>
              <w:spacing w:line="320" w:lineRule="exact"/>
              <w:jc w:val="left"/>
              <w:textAlignment w:val="baseline"/>
              <w:rPr>
                <w:rFonts w:ascii="宋体" w:hAnsi="宋体" w:cs="宋体"/>
                <w:sz w:val="20"/>
                <w:szCs w:val="21"/>
              </w:rPr>
            </w:pPr>
            <w:r>
              <w:rPr>
                <w:rFonts w:hint="eastAsia" w:ascii="宋体" w:hAnsi="宋体"/>
                <w:szCs w:val="21"/>
                <w:lang w:val="en-US" w:eastAsia="zh-CN"/>
              </w:rPr>
              <w:t>6</w:t>
            </w:r>
            <w:r>
              <w:rPr>
                <w:rFonts w:hint="eastAsia" w:ascii="宋体" w:hAnsi="宋体"/>
                <w:szCs w:val="21"/>
              </w:rPr>
              <w:t>.供应商20</w:t>
            </w:r>
            <w:r>
              <w:rPr>
                <w:rFonts w:ascii="宋体" w:hAnsi="宋体"/>
                <w:szCs w:val="21"/>
              </w:rPr>
              <w:t>2</w:t>
            </w:r>
            <w:r>
              <w:rPr>
                <w:rFonts w:hint="eastAsia" w:ascii="宋体" w:hAnsi="宋体"/>
                <w:szCs w:val="21"/>
                <w:lang w:val="en-US" w:eastAsia="zh-CN"/>
              </w:rPr>
              <w:t>1</w:t>
            </w:r>
            <w:r>
              <w:rPr>
                <w:rFonts w:hint="eastAsia" w:ascii="宋体" w:hAnsi="宋体"/>
                <w:szCs w:val="21"/>
              </w:rPr>
              <w:t>年的财务报表复印件（新成立的公司应提供公司成立日之后次月起到响应文件递交截止前一个月的财务报表复印件）或供应商基本开户银行出具的资信证明复印件，原件备查；</w:t>
            </w:r>
            <w:r>
              <w:rPr>
                <w:rFonts w:hint="eastAsia" w:ascii="宋体" w:hAnsi="宋体" w:cs="宋体"/>
                <w:szCs w:val="21"/>
              </w:rPr>
              <w:t>（如有请</w:t>
            </w:r>
            <w:r>
              <w:rPr>
                <w:rFonts w:ascii="宋体" w:hAnsi="宋体" w:cs="宋体"/>
                <w:szCs w:val="21"/>
              </w:rPr>
              <w:t>提供</w:t>
            </w:r>
            <w:r>
              <w:rPr>
                <w:rFonts w:hint="eastAsia" w:ascii="宋体" w:hAnsi="宋体" w:cs="宋体"/>
                <w:szCs w:val="21"/>
              </w:rPr>
              <w:t>）</w:t>
            </w:r>
          </w:p>
          <w:p>
            <w:pPr>
              <w:snapToGrid w:val="0"/>
              <w:spacing w:line="320" w:lineRule="exact"/>
              <w:jc w:val="left"/>
              <w:textAlignment w:val="baseline"/>
              <w:rPr>
                <w:rFonts w:ascii="宋体" w:hAnsi="宋体" w:cs="宋体"/>
                <w:sz w:val="20"/>
                <w:szCs w:val="21"/>
              </w:rPr>
            </w:pPr>
            <w:r>
              <w:rPr>
                <w:rFonts w:hint="eastAsia" w:ascii="宋体" w:hAnsi="宋体" w:cs="宋体"/>
                <w:szCs w:val="21"/>
                <w:lang w:val="en-US" w:eastAsia="zh-CN"/>
              </w:rPr>
              <w:t>7</w:t>
            </w:r>
            <w:r>
              <w:rPr>
                <w:rFonts w:hint="eastAsia" w:ascii="宋体" w:hAnsi="宋体" w:cs="宋体"/>
                <w:szCs w:val="21"/>
              </w:rPr>
              <w:t>. 除竞争性磋商文件规定必须提供以外，供应商认为需要提供的其他证明材料；</w:t>
            </w:r>
          </w:p>
          <w:p>
            <w:pPr>
              <w:snapToGrid w:val="0"/>
              <w:spacing w:line="320" w:lineRule="exact"/>
              <w:jc w:val="left"/>
              <w:textAlignment w:val="baseline"/>
              <w:rPr>
                <w:rFonts w:ascii="宋体" w:hAnsi="宋体" w:cs="宋体"/>
                <w:sz w:val="20"/>
                <w:szCs w:val="21"/>
              </w:rPr>
            </w:pPr>
            <w:r>
              <w:rPr>
                <w:rFonts w:hint="eastAsia" w:ascii="宋体" w:hAnsi="宋体" w:cs="宋体"/>
                <w:bCs/>
                <w:szCs w:val="21"/>
                <w:lang w:val="en-US" w:eastAsia="zh-CN"/>
              </w:rPr>
              <w:t>8</w:t>
            </w:r>
            <w:r>
              <w:rPr>
                <w:rFonts w:hint="eastAsia" w:ascii="宋体" w:hAnsi="宋体" w:cs="宋体"/>
                <w:bCs/>
                <w:szCs w:val="21"/>
              </w:rPr>
              <w:t>.</w:t>
            </w:r>
            <w:r>
              <w:rPr>
                <w:rFonts w:hint="eastAsia" w:ascii="宋体" w:hAnsi="宋体" w:cs="宋体"/>
                <w:szCs w:val="21"/>
              </w:rPr>
              <w:t xml:space="preserve"> 其他资格证明文件（编制时应与公告的特定资格要求相对应）。</w:t>
            </w:r>
          </w:p>
          <w:p>
            <w:pPr>
              <w:snapToGrid w:val="0"/>
              <w:spacing w:line="320" w:lineRule="exact"/>
              <w:jc w:val="left"/>
              <w:textAlignment w:val="baseline"/>
              <w:rPr>
                <w:rFonts w:ascii="宋体" w:hAnsi="宋体" w:cs="宋体"/>
                <w:b/>
                <w:sz w:val="20"/>
                <w:szCs w:val="21"/>
              </w:rPr>
            </w:pPr>
            <w:r>
              <w:rPr>
                <w:rFonts w:hint="eastAsia" w:ascii="宋体" w:hAnsi="宋体" w:cs="宋体"/>
                <w:b/>
                <w:szCs w:val="21"/>
              </w:rPr>
              <w:t>注：</w:t>
            </w:r>
          </w:p>
          <w:p>
            <w:pPr>
              <w:snapToGrid w:val="0"/>
              <w:spacing w:line="320" w:lineRule="exact"/>
              <w:ind w:firstLine="413" w:firstLineChars="196"/>
              <w:jc w:val="left"/>
              <w:textAlignment w:val="baseline"/>
              <w:rPr>
                <w:rFonts w:ascii="宋体" w:hAnsi="宋体" w:cs="宋体"/>
                <w:b/>
                <w:sz w:val="20"/>
                <w:szCs w:val="21"/>
              </w:rPr>
            </w:pPr>
            <w:r>
              <w:rPr>
                <w:rFonts w:hint="eastAsia" w:ascii="宋体" w:hAnsi="宋体" w:cs="宋体"/>
                <w:b/>
                <w:szCs w:val="21"/>
              </w:rPr>
              <w:t>1.以上标明“必须提供”的材料属于复印件的，必须加盖供应商公章，否则响应文件按无效响应处理。</w:t>
            </w:r>
          </w:p>
          <w:p>
            <w:pPr>
              <w:snapToGrid w:val="0"/>
              <w:spacing w:line="320" w:lineRule="exact"/>
              <w:ind w:firstLine="422" w:firstLineChars="200"/>
              <w:jc w:val="left"/>
              <w:textAlignment w:val="baseline"/>
              <w:rPr>
                <w:rFonts w:ascii="宋体" w:hAnsi="宋体" w:cs="宋体"/>
                <w:sz w:val="20"/>
                <w:szCs w:val="21"/>
              </w:rPr>
            </w:pPr>
            <w:r>
              <w:rPr>
                <w:rFonts w:hint="eastAsia" w:ascii="宋体" w:hAnsi="宋体" w:cs="宋体"/>
                <w:b/>
                <w:szCs w:val="21"/>
              </w:rPr>
              <w:t>2.竞标声明必须由法定代表人在规定签章处签字并加盖供应商公章，否则响应文件按无效响应处理。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textAlignment w:val="baseline"/>
              <w:rPr>
                <w:rFonts w:ascii="宋体" w:hAnsi="宋体" w:cs="宋体"/>
                <w:sz w:val="20"/>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w:t>
            </w:r>
            <w:r>
              <w:rPr>
                <w:rFonts w:ascii="宋体" w:hAnsi="宋体" w:cs="宋体"/>
                <w:szCs w:val="21"/>
              </w:rPr>
              <w:t>2</w:t>
            </w:r>
          </w:p>
        </w:tc>
        <w:tc>
          <w:tcPr>
            <w:tcW w:w="7912" w:type="dxa"/>
            <w:vAlign w:val="center"/>
          </w:tcPr>
          <w:p>
            <w:pPr>
              <w:spacing w:line="320" w:lineRule="exact"/>
              <w:textAlignment w:val="baseline"/>
              <w:rPr>
                <w:rFonts w:ascii="宋体" w:hAnsi="宋体" w:cs="宋体"/>
                <w:b/>
                <w:bCs/>
                <w:sz w:val="20"/>
                <w:szCs w:val="21"/>
              </w:rPr>
            </w:pPr>
            <w:r>
              <w:rPr>
                <w:rFonts w:hint="eastAsia" w:ascii="宋体" w:hAnsi="宋体" w:cs="宋体"/>
                <w:b/>
                <w:bCs/>
                <w:szCs w:val="21"/>
              </w:rPr>
              <w:t>报价商务技术文件</w:t>
            </w:r>
          </w:p>
          <w:p>
            <w:pPr>
              <w:spacing w:line="320" w:lineRule="exact"/>
              <w:ind w:firstLine="411" w:firstLineChars="196"/>
              <w:textAlignment w:val="baseline"/>
              <w:rPr>
                <w:rFonts w:ascii="宋体" w:hAnsi="宋体" w:cs="宋体"/>
                <w:b/>
                <w:sz w:val="20"/>
                <w:szCs w:val="21"/>
              </w:rPr>
            </w:pPr>
            <w:r>
              <w:rPr>
                <w:rFonts w:hint="eastAsia" w:ascii="宋体" w:hAnsi="宋体" w:cs="宋体"/>
                <w:szCs w:val="21"/>
              </w:rPr>
              <w:t>1.无串通竞标行为的承诺函（格式后附）；</w:t>
            </w:r>
            <w:r>
              <w:rPr>
                <w:rFonts w:hint="eastAsia" w:ascii="宋体" w:hAnsi="宋体" w:cs="宋体"/>
                <w:b/>
                <w:szCs w:val="21"/>
              </w:rPr>
              <w:t>（必须提供，否则响应文件按无效响应处理）</w:t>
            </w:r>
          </w:p>
          <w:p>
            <w:pPr>
              <w:spacing w:line="320" w:lineRule="exact"/>
              <w:ind w:firstLine="394" w:firstLineChars="196"/>
              <w:textAlignment w:val="baseline"/>
              <w:rPr>
                <w:rFonts w:ascii="宋体" w:hAnsi="宋体" w:cs="宋体"/>
                <w:b/>
                <w:sz w:val="20"/>
                <w:szCs w:val="21"/>
              </w:rPr>
            </w:pPr>
          </w:p>
          <w:p>
            <w:pPr>
              <w:spacing w:line="320" w:lineRule="exact"/>
              <w:ind w:firstLine="411" w:firstLineChars="196"/>
              <w:textAlignment w:val="baseline"/>
              <w:rPr>
                <w:rFonts w:ascii="宋体" w:hAnsi="宋体" w:cs="宋体"/>
                <w:b/>
                <w:sz w:val="20"/>
                <w:szCs w:val="21"/>
              </w:rPr>
            </w:pPr>
            <w:r>
              <w:rPr>
                <w:rFonts w:hint="eastAsia" w:ascii="宋体" w:hAnsi="宋体" w:cs="宋体"/>
                <w:szCs w:val="21"/>
                <w:lang w:val="en-US" w:eastAsia="zh-CN"/>
              </w:rPr>
              <w:t>2</w:t>
            </w:r>
            <w:r>
              <w:rPr>
                <w:rFonts w:hint="eastAsia" w:ascii="宋体" w:hAnsi="宋体" w:cs="宋体"/>
                <w:szCs w:val="21"/>
              </w:rPr>
              <w:t>.法定代表人身份证明书及法定代表人有效身份证正反面复印件（格式后附）；</w:t>
            </w:r>
            <w:r>
              <w:rPr>
                <w:rFonts w:hint="eastAsia" w:ascii="宋体" w:hAnsi="宋体" w:cs="宋体"/>
                <w:b/>
                <w:szCs w:val="21"/>
              </w:rPr>
              <w:t>（除自然人竞标外必须提供，否则响应文件按无效响应处理）</w:t>
            </w:r>
          </w:p>
          <w:p>
            <w:pPr>
              <w:spacing w:line="320" w:lineRule="exact"/>
              <w:ind w:firstLine="411" w:firstLineChars="196"/>
              <w:textAlignment w:val="baseline"/>
              <w:rPr>
                <w:rFonts w:ascii="宋体" w:hAnsi="宋体" w:cs="宋体"/>
                <w:sz w:val="20"/>
                <w:szCs w:val="21"/>
              </w:rPr>
            </w:pPr>
            <w:r>
              <w:rPr>
                <w:rFonts w:hint="eastAsia" w:ascii="宋体" w:hAnsi="宋体" w:cs="宋体"/>
                <w:szCs w:val="21"/>
                <w:lang w:val="en-US" w:eastAsia="zh-CN"/>
              </w:rPr>
              <w:t>3</w:t>
            </w:r>
            <w:r>
              <w:rPr>
                <w:rFonts w:hint="eastAsia" w:ascii="宋体" w:hAnsi="宋体" w:cs="宋体"/>
                <w:szCs w:val="21"/>
              </w:rPr>
              <w:t>.法定代表人授权委托书及委托代理人有效身份证正反面复印件（格式后附）；</w:t>
            </w:r>
            <w:r>
              <w:rPr>
                <w:rFonts w:hint="eastAsia" w:ascii="宋体" w:hAnsi="宋体" w:cs="宋体"/>
                <w:b/>
                <w:szCs w:val="21"/>
              </w:rPr>
              <w:t>（委托时必须提供，否则响应文件按无效响应处理）</w:t>
            </w:r>
          </w:p>
          <w:p>
            <w:pPr>
              <w:spacing w:line="320" w:lineRule="exact"/>
              <w:ind w:firstLine="411" w:firstLineChars="196"/>
              <w:textAlignment w:val="baseline"/>
              <w:rPr>
                <w:rFonts w:ascii="宋体" w:hAnsi="宋体" w:cs="宋体"/>
                <w:b/>
                <w:szCs w:val="21"/>
              </w:rPr>
            </w:pPr>
            <w:r>
              <w:rPr>
                <w:rFonts w:hint="eastAsia" w:ascii="宋体" w:hAnsi="宋体" w:cs="宋体"/>
                <w:szCs w:val="21"/>
                <w:lang w:val="en-US" w:eastAsia="zh-CN"/>
              </w:rPr>
              <w:t>4</w:t>
            </w:r>
            <w:r>
              <w:rPr>
                <w:rFonts w:hint="eastAsia" w:ascii="宋体" w:hAnsi="宋体" w:cs="宋体"/>
                <w:szCs w:val="21"/>
              </w:rPr>
              <w:t>.商务条款偏离表（格式后附）；</w:t>
            </w:r>
            <w:r>
              <w:rPr>
                <w:rFonts w:hint="eastAsia" w:ascii="宋体" w:hAnsi="宋体" w:cs="宋体"/>
                <w:b/>
                <w:szCs w:val="21"/>
              </w:rPr>
              <w:t>（必须提供，否则响应文件按无效响应处理）</w:t>
            </w:r>
          </w:p>
          <w:p>
            <w:pPr>
              <w:spacing w:line="320" w:lineRule="exact"/>
              <w:ind w:firstLine="411" w:firstLineChars="196"/>
              <w:textAlignment w:val="baseline"/>
              <w:rPr>
                <w:rFonts w:ascii="宋体" w:hAnsi="宋体" w:cs="宋体"/>
                <w:b/>
                <w:sz w:val="20"/>
                <w:szCs w:val="21"/>
              </w:rPr>
            </w:pPr>
            <w:r>
              <w:rPr>
                <w:rFonts w:hint="eastAsia" w:ascii="宋体" w:hAnsi="宋体" w:cs="宋体"/>
                <w:szCs w:val="21"/>
                <w:lang w:val="en-US" w:eastAsia="zh-CN"/>
              </w:rPr>
              <w:t>5</w:t>
            </w:r>
            <w:r>
              <w:rPr>
                <w:rFonts w:hint="eastAsia" w:ascii="宋体" w:hAnsi="宋体" w:cs="宋体"/>
                <w:szCs w:val="21"/>
              </w:rPr>
              <w:t>.售后服务承诺；（如有请</w:t>
            </w:r>
            <w:r>
              <w:rPr>
                <w:rFonts w:ascii="宋体" w:hAnsi="宋体" w:cs="宋体"/>
                <w:szCs w:val="21"/>
              </w:rPr>
              <w:t>提供</w:t>
            </w:r>
            <w:r>
              <w:rPr>
                <w:rFonts w:hint="eastAsia" w:ascii="宋体" w:hAnsi="宋体" w:cs="宋体"/>
                <w:szCs w:val="21"/>
              </w:rPr>
              <w:t>）</w:t>
            </w:r>
          </w:p>
          <w:p>
            <w:pPr>
              <w:spacing w:line="320" w:lineRule="exact"/>
              <w:ind w:firstLine="411" w:firstLineChars="196"/>
              <w:textAlignment w:val="baseline"/>
              <w:rPr>
                <w:rFonts w:ascii="宋体" w:hAnsi="宋体" w:cs="宋体"/>
                <w:sz w:val="20"/>
                <w:szCs w:val="21"/>
              </w:rPr>
            </w:pPr>
            <w:r>
              <w:rPr>
                <w:rFonts w:hint="eastAsia" w:ascii="宋体" w:hAnsi="宋体" w:cs="宋体"/>
                <w:szCs w:val="21"/>
                <w:lang w:val="en-US" w:eastAsia="zh-CN"/>
              </w:rPr>
              <w:t>6</w:t>
            </w:r>
            <w:r>
              <w:rPr>
                <w:rFonts w:hint="eastAsia" w:ascii="宋体" w:hAnsi="宋体" w:cs="宋体"/>
                <w:szCs w:val="21"/>
              </w:rPr>
              <w:t>.技术需求偏离表（格式后附）；</w:t>
            </w:r>
            <w:r>
              <w:rPr>
                <w:rFonts w:hint="eastAsia" w:ascii="宋体" w:hAnsi="宋体" w:cs="宋体"/>
                <w:b/>
                <w:szCs w:val="21"/>
              </w:rPr>
              <w:t>（必须提供，否则响应文件按无效响应处理）</w:t>
            </w:r>
          </w:p>
          <w:p>
            <w:pPr>
              <w:spacing w:line="320" w:lineRule="exact"/>
              <w:ind w:firstLine="411" w:firstLineChars="196"/>
              <w:textAlignment w:val="baseline"/>
              <w:rPr>
                <w:rFonts w:ascii="宋体" w:hAnsi="宋体" w:cs="宋体"/>
                <w:sz w:val="20"/>
                <w:szCs w:val="21"/>
              </w:rPr>
            </w:pPr>
            <w:r>
              <w:rPr>
                <w:rFonts w:hint="eastAsia" w:ascii="宋体" w:hAnsi="宋体" w:cs="宋体"/>
                <w:szCs w:val="21"/>
                <w:lang w:val="en-US" w:eastAsia="zh-CN"/>
              </w:rPr>
              <w:t>7</w:t>
            </w:r>
            <w:r>
              <w:rPr>
                <w:rFonts w:hint="eastAsia" w:ascii="宋体" w:hAnsi="宋体" w:cs="宋体"/>
                <w:szCs w:val="21"/>
              </w:rPr>
              <w:t xml:space="preserve">.人员配置清单（格式自拟）； </w:t>
            </w:r>
          </w:p>
          <w:p>
            <w:pPr>
              <w:spacing w:line="320" w:lineRule="exact"/>
              <w:ind w:firstLine="411" w:firstLineChars="196"/>
              <w:textAlignment w:val="baseline"/>
              <w:rPr>
                <w:rFonts w:ascii="宋体" w:hAnsi="宋体" w:cs="宋体"/>
                <w:sz w:val="20"/>
                <w:szCs w:val="21"/>
              </w:rPr>
            </w:pPr>
            <w:r>
              <w:rPr>
                <w:rFonts w:hint="eastAsia" w:ascii="宋体" w:hAnsi="宋体" w:cs="宋体"/>
                <w:szCs w:val="21"/>
                <w:lang w:val="en-US" w:eastAsia="zh-CN"/>
              </w:rPr>
              <w:t>8</w:t>
            </w:r>
            <w:r>
              <w:rPr>
                <w:rFonts w:hint="eastAsia" w:ascii="宋体" w:hAnsi="宋体" w:cs="宋体"/>
                <w:szCs w:val="21"/>
              </w:rPr>
              <w:t>.对应采购需求的商务条款提供的其他文件资料；</w:t>
            </w:r>
          </w:p>
          <w:p>
            <w:pPr>
              <w:spacing w:line="320" w:lineRule="exact"/>
              <w:ind w:firstLine="411" w:firstLineChars="196"/>
              <w:textAlignment w:val="baseline"/>
              <w:rPr>
                <w:rFonts w:ascii="宋体" w:hAnsi="宋体" w:cs="宋体"/>
                <w:sz w:val="20"/>
                <w:szCs w:val="21"/>
              </w:rPr>
            </w:pPr>
            <w:r>
              <w:rPr>
                <w:rFonts w:hint="eastAsia" w:ascii="宋体" w:hAnsi="宋体" w:cs="宋体"/>
                <w:szCs w:val="21"/>
                <w:lang w:val="en-US" w:eastAsia="zh-CN"/>
              </w:rPr>
              <w:t>9</w:t>
            </w:r>
            <w:r>
              <w:rPr>
                <w:rFonts w:hint="eastAsia" w:ascii="宋体" w:hAnsi="宋体" w:cs="宋体"/>
                <w:szCs w:val="21"/>
              </w:rPr>
              <w:t>.对应采购需求的技术需求提供的其他文件资料；</w:t>
            </w:r>
          </w:p>
          <w:p>
            <w:pPr>
              <w:spacing w:line="320" w:lineRule="exact"/>
              <w:ind w:firstLine="411" w:firstLineChars="196"/>
              <w:textAlignment w:val="baseline"/>
              <w:rPr>
                <w:rFonts w:ascii="宋体" w:hAnsi="宋体" w:cs="宋体"/>
                <w:sz w:val="20"/>
                <w:szCs w:val="21"/>
              </w:rPr>
            </w:pPr>
            <w:r>
              <w:rPr>
                <w:rFonts w:ascii="宋体" w:hAnsi="宋体" w:cs="宋体"/>
                <w:szCs w:val="21"/>
              </w:rPr>
              <w:t>1</w:t>
            </w:r>
            <w:r>
              <w:rPr>
                <w:rFonts w:hint="eastAsia" w:ascii="宋体" w:hAnsi="宋体" w:cs="宋体"/>
                <w:szCs w:val="21"/>
                <w:lang w:val="en-US" w:eastAsia="zh-CN"/>
              </w:rPr>
              <w:t>0</w:t>
            </w:r>
            <w:r>
              <w:rPr>
                <w:rFonts w:hint="eastAsia" w:ascii="宋体" w:hAnsi="宋体" w:cs="宋体"/>
                <w:szCs w:val="21"/>
              </w:rPr>
              <w:t>.供应商认为需要提供的有关资料。</w:t>
            </w:r>
          </w:p>
          <w:p>
            <w:pPr>
              <w:spacing w:line="320" w:lineRule="exact"/>
              <w:ind w:firstLine="411" w:firstLineChars="196"/>
              <w:textAlignment w:val="baseline"/>
              <w:rPr>
                <w:rFonts w:ascii="宋体" w:hAnsi="宋体" w:cs="宋体"/>
                <w:sz w:val="20"/>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.采购需求要求所竞标产品提供的相关资料；（如有要求必须提供的必须提供，否则响应文件按无效响应处理）</w:t>
            </w:r>
          </w:p>
          <w:p>
            <w:pPr>
              <w:spacing w:line="320" w:lineRule="exact"/>
              <w:ind w:firstLine="411" w:firstLineChars="196"/>
              <w:textAlignment w:val="baseline"/>
              <w:rPr>
                <w:rFonts w:ascii="宋体" w:hAnsi="宋体" w:cs="宋体"/>
                <w:sz w:val="20"/>
                <w:szCs w:val="21"/>
              </w:rPr>
            </w:pPr>
            <w:r>
              <w:rPr>
                <w:rFonts w:hint="eastAsia" w:ascii="宋体" w:hAnsi="宋体" w:cs="宋体"/>
                <w:szCs w:val="21"/>
              </w:rPr>
              <w:t xml:space="preserve">注： </w:t>
            </w:r>
          </w:p>
          <w:p>
            <w:pPr>
              <w:spacing w:line="320" w:lineRule="exact"/>
              <w:ind w:firstLine="411" w:firstLineChars="196"/>
              <w:textAlignment w:val="baseline"/>
              <w:rPr>
                <w:rFonts w:ascii="宋体" w:hAnsi="宋体" w:cs="宋体"/>
                <w:sz w:val="20"/>
                <w:szCs w:val="21"/>
              </w:rPr>
            </w:pPr>
            <w:r>
              <w:rPr>
                <w:rFonts w:hint="eastAsia" w:ascii="宋体" w:hAnsi="宋体" w:cs="宋体"/>
                <w:szCs w:val="21"/>
              </w:rPr>
              <w:t>1.法定代表人授权委托书必须由法定代表人及委托代理人签字，并加盖供应商公章，否则响应文件按无效响应处理。</w:t>
            </w:r>
          </w:p>
          <w:p>
            <w:pPr>
              <w:spacing w:line="320" w:lineRule="exact"/>
              <w:ind w:firstLine="411" w:firstLineChars="196"/>
              <w:textAlignment w:val="baseline"/>
              <w:rPr>
                <w:rFonts w:ascii="宋体" w:hAnsi="宋体" w:cs="宋体"/>
                <w:sz w:val="20"/>
                <w:szCs w:val="21"/>
              </w:rPr>
            </w:pPr>
            <w:r>
              <w:rPr>
                <w:rFonts w:hint="eastAsia" w:ascii="宋体" w:hAnsi="宋体" w:cs="宋体"/>
                <w:szCs w:val="21"/>
              </w:rPr>
              <w:t>2.以上标明“必须提供”的材料属于复印件的，必须加盖供应商公章，否则响应文件按无效响应处理。</w:t>
            </w:r>
          </w:p>
          <w:p>
            <w:pPr>
              <w:spacing w:line="320" w:lineRule="exact"/>
              <w:ind w:firstLine="411" w:firstLineChars="196"/>
              <w:textAlignment w:val="baseline"/>
              <w:rPr>
                <w:rFonts w:ascii="宋体" w:hAnsi="宋体" w:cs="宋体"/>
                <w:sz w:val="20"/>
                <w:szCs w:val="21"/>
              </w:rPr>
            </w:pPr>
            <w:r>
              <w:rPr>
                <w:rFonts w:hint="eastAsia" w:ascii="宋体" w:hAnsi="宋体" w:cs="宋体"/>
                <w:szCs w:val="21"/>
              </w:rPr>
              <w:t>3.以上材料未附格式的，由供应商自行拟定。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textAlignment w:val="baseline"/>
              <w:rPr>
                <w:rFonts w:ascii="宋体" w:hAnsi="宋体" w:cs="宋体"/>
                <w:sz w:val="20"/>
                <w:szCs w:val="21"/>
              </w:rPr>
            </w:pPr>
            <w:r>
              <w:rPr>
                <w:rFonts w:hint="eastAsia" w:ascii="宋体" w:hAnsi="宋体" w:cs="宋体"/>
                <w:szCs w:val="21"/>
              </w:rPr>
              <w:t>12.</w:t>
            </w:r>
            <w:r>
              <w:rPr>
                <w:rFonts w:ascii="宋体" w:hAnsi="宋体" w:cs="宋体"/>
                <w:szCs w:val="21"/>
              </w:rPr>
              <w:t>2</w:t>
            </w:r>
          </w:p>
        </w:tc>
        <w:tc>
          <w:tcPr>
            <w:tcW w:w="7912" w:type="dxa"/>
            <w:vAlign w:val="center"/>
          </w:tcPr>
          <w:p>
            <w:pPr>
              <w:snapToGrid w:val="0"/>
              <w:spacing w:line="320" w:lineRule="exact"/>
              <w:jc w:val="left"/>
              <w:textAlignment w:val="baseline"/>
              <w:rPr>
                <w:rFonts w:ascii="宋体" w:hAnsi="宋体" w:cs="宋体"/>
                <w:sz w:val="20"/>
                <w:szCs w:val="21"/>
              </w:rPr>
            </w:pPr>
            <w:r>
              <w:rPr>
                <w:rFonts w:hint="eastAsia" w:ascii="宋体" w:hAnsi="宋体" w:cs="宋体"/>
                <w:szCs w:val="21"/>
              </w:rPr>
              <w:t>响应文件电子版。供应商在递交响应文件时，同时递交响应文件电子版。</w:t>
            </w:r>
          </w:p>
          <w:p>
            <w:pPr>
              <w:snapToGrid w:val="0"/>
              <w:spacing w:line="320" w:lineRule="exact"/>
              <w:jc w:val="left"/>
              <w:textAlignment w:val="baseline"/>
              <w:rPr>
                <w:rFonts w:ascii="宋体" w:hAnsi="宋体" w:cs="宋体"/>
                <w:sz w:val="20"/>
                <w:szCs w:val="21"/>
              </w:rPr>
            </w:pPr>
            <w:r>
              <w:rPr>
                <w:rFonts w:hint="eastAsia" w:ascii="宋体" w:hAnsi="宋体" w:cs="宋体"/>
                <w:szCs w:val="21"/>
              </w:rPr>
              <w:t>1.响应文件电子版内容：与纸质响应文件全部内容一致。</w:t>
            </w:r>
          </w:p>
          <w:p>
            <w:pPr>
              <w:snapToGrid w:val="0"/>
              <w:spacing w:line="320" w:lineRule="exact"/>
              <w:jc w:val="left"/>
              <w:textAlignment w:val="baseline"/>
              <w:rPr>
                <w:rFonts w:ascii="宋体" w:hAnsi="宋体" w:cs="宋体"/>
                <w:sz w:val="20"/>
                <w:szCs w:val="21"/>
              </w:rPr>
            </w:pPr>
            <w:r>
              <w:rPr>
                <w:rFonts w:hint="eastAsia" w:ascii="宋体" w:hAnsi="宋体" w:cs="宋体"/>
                <w:szCs w:val="21"/>
              </w:rPr>
              <w:t>2.响应文件电子版形式：可编辑的word文档格式1份。</w:t>
            </w:r>
          </w:p>
          <w:p>
            <w:pPr>
              <w:snapToGrid w:val="0"/>
              <w:spacing w:line="320" w:lineRule="exact"/>
              <w:jc w:val="left"/>
              <w:textAlignment w:val="baseline"/>
              <w:rPr>
                <w:rFonts w:ascii="宋体" w:hAnsi="宋体" w:cs="宋体"/>
                <w:sz w:val="20"/>
                <w:szCs w:val="21"/>
              </w:rPr>
            </w:pPr>
            <w:r>
              <w:rPr>
                <w:rFonts w:hint="eastAsia" w:ascii="宋体" w:hAnsi="宋体" w:cs="宋体"/>
                <w:szCs w:val="21"/>
              </w:rPr>
              <w:t>3.响应文件电子版密封方式：响应文件电子版光盘（或U盘）1份与纸质版响应文件一并装入响应文件袋中。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textAlignment w:val="baseline"/>
              <w:rPr>
                <w:rFonts w:ascii="宋体" w:hAnsi="宋体" w:cs="宋体"/>
                <w:sz w:val="20"/>
                <w:szCs w:val="21"/>
              </w:rPr>
            </w:pPr>
            <w:r>
              <w:rPr>
                <w:rFonts w:hint="eastAsia" w:ascii="宋体" w:hAnsi="宋体" w:cs="宋体"/>
                <w:szCs w:val="21"/>
              </w:rPr>
              <w:t>16.</w:t>
            </w:r>
            <w:r>
              <w:rPr>
                <w:rFonts w:ascii="宋体" w:hAnsi="宋体" w:cs="宋体"/>
                <w:szCs w:val="21"/>
              </w:rPr>
              <w:t>2</w:t>
            </w:r>
          </w:p>
        </w:tc>
        <w:tc>
          <w:tcPr>
            <w:tcW w:w="7912" w:type="dxa"/>
            <w:vAlign w:val="center"/>
          </w:tcPr>
          <w:p>
            <w:pPr>
              <w:tabs>
                <w:tab w:val="left" w:pos="720"/>
                <w:tab w:val="left" w:pos="840"/>
              </w:tabs>
              <w:snapToGrid w:val="0"/>
              <w:spacing w:after="50" w:line="320" w:lineRule="exact"/>
              <w:ind w:left="283" w:hanging="283" w:hangingChars="135"/>
              <w:jc w:val="left"/>
              <w:textAlignment w:val="baseline"/>
              <w:rPr>
                <w:rFonts w:ascii="宋体" w:hAnsi="宋体" w:cs="宋体"/>
                <w:sz w:val="20"/>
                <w:szCs w:val="21"/>
              </w:rPr>
            </w:pPr>
            <w:r>
              <w:rPr>
                <w:rFonts w:hint="eastAsia" w:ascii="宋体" w:hAnsi="宋体" w:cs="宋体"/>
                <w:szCs w:val="21"/>
              </w:rPr>
              <w:t>竞标有效期：自首次响应文件提交截止之日起120日。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textAlignment w:val="baseline"/>
              <w:rPr>
                <w:rFonts w:ascii="宋体" w:hAnsi="宋体" w:cs="宋体"/>
                <w:sz w:val="20"/>
                <w:szCs w:val="21"/>
              </w:rPr>
            </w:pPr>
            <w:r>
              <w:rPr>
                <w:rFonts w:hint="eastAsia" w:ascii="宋体" w:hAnsi="宋体" w:cs="宋体"/>
                <w:szCs w:val="21"/>
              </w:rPr>
              <w:t>17</w:t>
            </w:r>
          </w:p>
        </w:tc>
        <w:tc>
          <w:tcPr>
            <w:tcW w:w="7912" w:type="dxa"/>
            <w:vAlign w:val="center"/>
          </w:tcPr>
          <w:p>
            <w:pPr>
              <w:snapToGrid w:val="0"/>
              <w:spacing w:line="320" w:lineRule="exact"/>
              <w:textAlignment w:val="baseline"/>
              <w:rPr>
                <w:rFonts w:ascii="宋体" w:hAnsi="宋体" w:cs="宋体"/>
                <w:sz w:val="20"/>
                <w:szCs w:val="21"/>
              </w:rPr>
            </w:pPr>
            <w:r>
              <w:rPr>
                <w:rFonts w:hint="eastAsia" w:ascii="宋体" w:hAnsi="宋体" w:cs="宋体"/>
                <w:szCs w:val="21"/>
              </w:rPr>
              <w:t>磋商保证金：</w:t>
            </w:r>
            <w:r>
              <w:rPr>
                <w:rFonts w:hint="eastAsia" w:ascii="宋体" w:hAnsi="宋体" w:cs="宋体"/>
                <w:szCs w:val="21"/>
                <w:lang w:val="en-US" w:eastAsia="zh-CN"/>
              </w:rPr>
              <w:t>无</w:t>
            </w:r>
            <w:r>
              <w:rPr>
                <w:rFonts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textAlignment w:val="baseline"/>
              <w:rPr>
                <w:rFonts w:ascii="宋体" w:hAnsi="宋体" w:cs="宋体"/>
                <w:sz w:val="20"/>
                <w:szCs w:val="21"/>
              </w:rPr>
            </w:pPr>
            <w:r>
              <w:rPr>
                <w:rFonts w:hint="eastAsia" w:ascii="宋体" w:hAnsi="宋体" w:cs="宋体"/>
                <w:szCs w:val="21"/>
              </w:rPr>
              <w:t>18.2</w:t>
            </w:r>
          </w:p>
        </w:tc>
        <w:tc>
          <w:tcPr>
            <w:tcW w:w="7912" w:type="dxa"/>
            <w:vAlign w:val="center"/>
          </w:tcPr>
          <w:p>
            <w:pPr>
              <w:spacing w:line="320" w:lineRule="exact"/>
              <w:textAlignment w:val="baseline"/>
              <w:rPr>
                <w:rFonts w:ascii="宋体" w:hAnsi="宋体" w:cs="宋体"/>
                <w:sz w:val="20"/>
                <w:szCs w:val="21"/>
              </w:rPr>
            </w:pPr>
            <w:r>
              <w:rPr>
                <w:rFonts w:hint="eastAsia" w:ascii="宋体" w:hAnsi="宋体" w:cs="宋体"/>
                <w:szCs w:val="21"/>
              </w:rPr>
              <w:t>响应文件份数：正本一份、副本</w:t>
            </w:r>
            <w:r>
              <w:rPr>
                <w:rFonts w:hint="eastAsia" w:ascii="宋体" w:hAnsi="宋体" w:cs="宋体"/>
                <w:szCs w:val="21"/>
                <w:u w:val="single" w:color="000000"/>
              </w:rPr>
              <w:t>四</w:t>
            </w:r>
            <w:r>
              <w:rPr>
                <w:rFonts w:hint="eastAsia" w:ascii="宋体" w:hAnsi="宋体" w:cs="宋体"/>
                <w:szCs w:val="21"/>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textAlignment w:val="baseline"/>
              <w:rPr>
                <w:rFonts w:ascii="宋体" w:hAnsi="宋体" w:cs="宋体"/>
                <w:sz w:val="20"/>
                <w:szCs w:val="21"/>
              </w:rPr>
            </w:pPr>
            <w:r>
              <w:rPr>
                <w:rFonts w:hint="eastAsia" w:ascii="宋体" w:hAnsi="宋体" w:cs="宋体"/>
                <w:szCs w:val="21"/>
              </w:rPr>
              <w:t>20.1</w:t>
            </w:r>
          </w:p>
        </w:tc>
        <w:tc>
          <w:tcPr>
            <w:tcW w:w="7912" w:type="dxa"/>
            <w:vAlign w:val="center"/>
          </w:tcPr>
          <w:p>
            <w:pPr>
              <w:snapToGrid w:val="0"/>
              <w:spacing w:line="320" w:lineRule="exact"/>
              <w:ind w:firstLine="420" w:firstLineChars="200"/>
              <w:jc w:val="left"/>
              <w:textAlignment w:val="baseline"/>
              <w:rPr>
                <w:rFonts w:ascii="宋体" w:hAnsi="宋体" w:cs="宋体"/>
                <w:sz w:val="20"/>
                <w:szCs w:val="21"/>
                <w:u w:val="single" w:color="000000"/>
              </w:rPr>
            </w:pPr>
            <w:r>
              <w:rPr>
                <w:rFonts w:hint="eastAsia" w:ascii="宋体" w:hAnsi="宋体" w:cs="宋体"/>
                <w:szCs w:val="21"/>
              </w:rPr>
              <w:t>首次响应文件提交截止时间：详见竞争性磋商公告。</w:t>
            </w:r>
          </w:p>
          <w:p>
            <w:pPr>
              <w:snapToGrid w:val="0"/>
              <w:spacing w:line="320" w:lineRule="exact"/>
              <w:ind w:firstLine="420" w:firstLineChars="200"/>
              <w:jc w:val="left"/>
              <w:textAlignment w:val="baseline"/>
              <w:rPr>
                <w:rFonts w:ascii="宋体" w:hAnsi="宋体" w:cs="宋体"/>
                <w:sz w:val="20"/>
                <w:szCs w:val="21"/>
              </w:rPr>
            </w:pPr>
            <w:r>
              <w:rPr>
                <w:rFonts w:hint="eastAsia" w:ascii="宋体" w:hAnsi="宋体" w:cs="宋体"/>
                <w:szCs w:val="21"/>
              </w:rPr>
              <w:t>首次响应文件提交地点：详见竞争性磋商公告。</w:t>
            </w:r>
          </w:p>
          <w:p>
            <w:pPr>
              <w:spacing w:line="320" w:lineRule="exact"/>
              <w:ind w:firstLine="420" w:firstLineChars="200"/>
              <w:textAlignment w:val="baseline"/>
              <w:rPr>
                <w:rFonts w:ascii="宋体" w:hAnsi="宋体" w:cs="宋体"/>
                <w:sz w:val="20"/>
                <w:szCs w:val="21"/>
              </w:rPr>
            </w:pPr>
            <w:r>
              <w:rPr>
                <w:rFonts w:hint="eastAsia" w:ascii="宋体" w:hAnsi="宋体" w:cs="宋体"/>
                <w:szCs w:val="21"/>
              </w:rPr>
              <w:t>供应商应当在首次响应文件提交截止时间前，将响应文件密封送达首次响应文件提交地点。在首次响应文件提交截止时间后送达的响应文件为无效文件，</w:t>
            </w:r>
            <w:r>
              <w:rPr>
                <w:rFonts w:hint="eastAsia" w:ascii="宋体" w:hAnsi="宋体" w:cs="宋体"/>
                <w:szCs w:val="21"/>
                <w:lang w:val="en-US" w:eastAsia="zh-CN"/>
              </w:rPr>
              <w:t>采购商</w:t>
            </w:r>
            <w:r>
              <w:rPr>
                <w:rFonts w:hint="eastAsia" w:ascii="宋体" w:hAnsi="宋体" w:cs="宋体"/>
                <w:szCs w:val="21"/>
              </w:rPr>
              <w:t>应当拒收。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textAlignment w:val="baseline"/>
              <w:rPr>
                <w:rFonts w:ascii="宋体" w:hAnsi="宋体" w:cs="宋体"/>
                <w:sz w:val="20"/>
                <w:szCs w:val="21"/>
              </w:rPr>
            </w:pPr>
            <w:r>
              <w:rPr>
                <w:rFonts w:hint="eastAsia" w:ascii="宋体" w:hAnsi="宋体" w:cs="宋体"/>
                <w:szCs w:val="21"/>
              </w:rPr>
              <w:t>24.1</w:t>
            </w:r>
          </w:p>
        </w:tc>
        <w:tc>
          <w:tcPr>
            <w:tcW w:w="7912" w:type="dxa"/>
            <w:vAlign w:val="center"/>
          </w:tcPr>
          <w:p>
            <w:pPr>
              <w:snapToGrid w:val="0"/>
              <w:spacing w:line="320" w:lineRule="exact"/>
              <w:jc w:val="left"/>
              <w:textAlignment w:val="baseline"/>
              <w:rPr>
                <w:rFonts w:ascii="宋体" w:hAnsi="宋体" w:cs="宋体"/>
                <w:sz w:val="20"/>
                <w:szCs w:val="21"/>
                <w:u w:val="single" w:color="000000"/>
              </w:rPr>
            </w:pPr>
            <w:r>
              <w:rPr>
                <w:rFonts w:hint="eastAsia" w:ascii="宋体" w:hAnsi="宋体" w:cs="宋体"/>
                <w:szCs w:val="21"/>
              </w:rPr>
              <w:t>磋商小组的人数：</w:t>
            </w:r>
            <w:r>
              <w:rPr>
                <w:rFonts w:hint="eastAsia" w:ascii="宋体" w:hAnsi="宋体" w:cs="宋体"/>
                <w:szCs w:val="21"/>
                <w:u w:val="single" w:color="000000"/>
              </w:rPr>
              <w:t>3</w:t>
            </w:r>
            <w:r>
              <w:rPr>
                <w:rFonts w:hint="eastAsia" w:ascii="宋体" w:hAnsi="宋体" w:cs="宋体"/>
                <w:szCs w:val="21"/>
              </w:rPr>
              <w:t>人（含3人）。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textAlignment w:val="baseline"/>
              <w:rPr>
                <w:rFonts w:hint="eastAsia" w:ascii="宋体" w:hAnsi="宋体" w:eastAsia="宋体" w:cs="宋体"/>
                <w:sz w:val="20"/>
                <w:szCs w:val="21"/>
                <w:lang w:eastAsia="zh-CN"/>
              </w:rPr>
            </w:pPr>
            <w:r>
              <w:rPr>
                <w:rFonts w:hint="eastAsia" w:ascii="宋体" w:hAnsi="宋体" w:cs="宋体"/>
                <w:szCs w:val="21"/>
              </w:rPr>
              <w:t>24.</w:t>
            </w:r>
            <w:r>
              <w:rPr>
                <w:rFonts w:hint="eastAsia" w:ascii="宋体" w:hAnsi="宋体" w:cs="宋体"/>
                <w:szCs w:val="21"/>
                <w:lang w:val="en-US" w:eastAsia="zh-CN"/>
              </w:rPr>
              <w:t>2</w:t>
            </w:r>
          </w:p>
        </w:tc>
        <w:tc>
          <w:tcPr>
            <w:tcW w:w="7912" w:type="dxa"/>
            <w:vAlign w:val="center"/>
          </w:tcPr>
          <w:p>
            <w:pPr>
              <w:snapToGrid w:val="0"/>
              <w:spacing w:line="320" w:lineRule="exact"/>
              <w:jc w:val="left"/>
              <w:textAlignment w:val="baseline"/>
              <w:rPr>
                <w:rFonts w:ascii="宋体" w:hAnsi="宋体" w:cs="宋体"/>
                <w:sz w:val="20"/>
                <w:szCs w:val="21"/>
              </w:rPr>
            </w:pPr>
            <w:r>
              <w:rPr>
                <w:rFonts w:hint="eastAsia" w:ascii="宋体" w:hAnsi="宋体" w:cs="宋体"/>
                <w:szCs w:val="21"/>
              </w:rPr>
              <w:t>首次响应文件的开启：</w:t>
            </w:r>
          </w:p>
          <w:p>
            <w:pPr>
              <w:snapToGrid w:val="0"/>
              <w:spacing w:line="320" w:lineRule="exact"/>
              <w:jc w:val="left"/>
              <w:textAlignment w:val="baseline"/>
              <w:rPr>
                <w:rFonts w:ascii="宋体" w:hAnsi="宋体" w:cs="宋体"/>
                <w:sz w:val="20"/>
                <w:szCs w:val="21"/>
              </w:rPr>
            </w:pPr>
            <w:r>
              <w:rPr>
                <w:rFonts w:hint="eastAsia" w:ascii="宋体" w:hAnsi="宋体" w:cs="宋体"/>
                <w:szCs w:val="21"/>
              </w:rPr>
              <w:t>在工作人员或现场监督人员的见证下开启首次响应文件。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textAlignment w:val="baseline"/>
              <w:rPr>
                <w:rFonts w:ascii="宋体" w:hAnsi="宋体" w:cs="宋体"/>
                <w:sz w:val="20"/>
                <w:szCs w:val="21"/>
              </w:rPr>
            </w:pPr>
            <w:r>
              <w:rPr>
                <w:rFonts w:ascii="宋体" w:hAnsi="宋体" w:cs="宋体"/>
                <w:szCs w:val="21"/>
              </w:rPr>
              <w:t>25.1.1</w:t>
            </w:r>
          </w:p>
        </w:tc>
        <w:tc>
          <w:tcPr>
            <w:tcW w:w="7912" w:type="dxa"/>
            <w:vAlign w:val="center"/>
          </w:tcPr>
          <w:p>
            <w:pPr>
              <w:snapToGrid w:val="0"/>
              <w:spacing w:line="320" w:lineRule="exact"/>
              <w:textAlignment w:val="baseline"/>
              <w:rPr>
                <w:rFonts w:ascii="宋体" w:hAnsi="宋体" w:cs="宋体"/>
                <w:sz w:val="20"/>
                <w:szCs w:val="21"/>
              </w:rPr>
            </w:pPr>
            <w:r>
              <w:rPr>
                <w:rFonts w:hint="eastAsia" w:ascii="宋体" w:hAnsi="宋体" w:cs="宋体"/>
                <w:szCs w:val="21"/>
              </w:rPr>
              <w:t>采购人或者采购代理机构在资格审查结束前，对供应商进行信用查询。</w:t>
            </w:r>
          </w:p>
          <w:p>
            <w:pPr>
              <w:snapToGrid w:val="0"/>
              <w:spacing w:line="320" w:lineRule="exact"/>
              <w:textAlignment w:val="baseline"/>
              <w:rPr>
                <w:rFonts w:ascii="宋体" w:hAnsi="宋体" w:cs="宋体"/>
                <w:sz w:val="20"/>
                <w:szCs w:val="21"/>
              </w:rPr>
            </w:pPr>
            <w:r>
              <w:rPr>
                <w:rFonts w:hint="eastAsia" w:ascii="宋体" w:hAnsi="宋体" w:cs="宋体"/>
                <w:szCs w:val="21"/>
              </w:rPr>
              <w:t>查询渠道：“信用中国”网站(www.creditchina.gov.cn)、中国政府采购网(www.ccgp.gov.cn)。</w:t>
            </w:r>
          </w:p>
          <w:p>
            <w:pPr>
              <w:snapToGrid w:val="0"/>
              <w:spacing w:line="320" w:lineRule="exact"/>
              <w:textAlignment w:val="baseline"/>
              <w:rPr>
                <w:rFonts w:ascii="宋体" w:hAnsi="宋体" w:cs="宋体"/>
                <w:sz w:val="20"/>
                <w:szCs w:val="21"/>
              </w:rPr>
            </w:pPr>
            <w:r>
              <w:rPr>
                <w:rFonts w:hint="eastAsia" w:ascii="宋体" w:hAnsi="宋体" w:cs="宋体"/>
                <w:szCs w:val="21"/>
              </w:rPr>
              <w:t>信用查询截止时点：资格审查结束前。</w:t>
            </w:r>
          </w:p>
          <w:p>
            <w:pPr>
              <w:snapToGrid w:val="0"/>
              <w:spacing w:line="320" w:lineRule="exact"/>
              <w:textAlignment w:val="baseline"/>
              <w:rPr>
                <w:rFonts w:ascii="宋体" w:hAnsi="宋体" w:cs="宋体"/>
                <w:sz w:val="20"/>
                <w:szCs w:val="21"/>
              </w:rPr>
            </w:pPr>
            <w:r>
              <w:rPr>
                <w:rFonts w:hint="eastAsia" w:ascii="宋体" w:hAnsi="宋体" w:cs="宋体"/>
                <w:szCs w:val="21"/>
              </w:rPr>
              <w:t>查询记录和证据留存方式：在查询网站中直接打印查询记录，打印材料作为评审资料保存。</w:t>
            </w:r>
          </w:p>
          <w:p>
            <w:pPr>
              <w:spacing w:line="320" w:lineRule="exact"/>
              <w:textAlignment w:val="baseline"/>
              <w:rPr>
                <w:rFonts w:ascii="宋体" w:hAnsi="宋体" w:cs="宋体"/>
                <w:sz w:val="20"/>
                <w:szCs w:val="21"/>
              </w:rPr>
            </w:pPr>
            <w:r>
              <w:rPr>
                <w:rFonts w:hint="eastAsia" w:ascii="宋体" w:hAnsi="宋体" w:cs="宋体"/>
                <w:szCs w:val="21"/>
              </w:rPr>
              <w:t>信用信息使用规则：对在“信用中国”网站(www.creditchina.gov.cn) 、中国政府采购网(www.ccgp.gov.cn)被列入失信被执行人、重大税收违法案件当事人名单、政府采购严重违法失信行为记录名单及其他不符合条件的供应商，资格审查不通过，不得参与采购活动。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pPr>
              <w:spacing w:line="320" w:lineRule="exact"/>
              <w:jc w:val="center"/>
              <w:textAlignment w:val="baseline"/>
              <w:rPr>
                <w:rFonts w:ascii="宋体" w:hAnsi="宋体" w:cs="宋体"/>
                <w:sz w:val="20"/>
                <w:szCs w:val="21"/>
              </w:rPr>
            </w:pPr>
            <w:r>
              <w:rPr>
                <w:rFonts w:ascii="宋体" w:hAnsi="宋体" w:cs="宋体"/>
                <w:szCs w:val="21"/>
              </w:rPr>
              <w:t>25.2.1</w:t>
            </w:r>
          </w:p>
        </w:tc>
        <w:tc>
          <w:tcPr>
            <w:tcW w:w="7912" w:type="dxa"/>
            <w:vAlign w:val="center"/>
          </w:tcPr>
          <w:p>
            <w:pPr>
              <w:snapToGrid w:val="0"/>
              <w:spacing w:line="320" w:lineRule="exact"/>
              <w:textAlignment w:val="baseline"/>
              <w:rPr>
                <w:rFonts w:ascii="宋体" w:hAnsi="宋体" w:cs="宋体"/>
                <w:sz w:val="20"/>
                <w:szCs w:val="21"/>
              </w:rPr>
            </w:pPr>
            <w:r>
              <w:rPr>
                <w:rFonts w:hint="eastAsia" w:ascii="宋体" w:hAnsi="宋体" w:cs="宋体"/>
                <w:szCs w:val="21"/>
              </w:rPr>
              <w:t>商务条款评审中允许负偏离的条款数为</w:t>
            </w:r>
            <w:r>
              <w:rPr>
                <w:rFonts w:ascii="宋体" w:hAnsi="宋体" w:cs="宋体"/>
                <w:szCs w:val="21"/>
                <w:u w:val="single" w:color="000000"/>
              </w:rPr>
              <w:t>2</w:t>
            </w:r>
            <w:r>
              <w:rPr>
                <w:rFonts w:hint="eastAsia" w:ascii="宋体" w:hAnsi="宋体" w:cs="宋体"/>
                <w:szCs w:val="21"/>
              </w:rPr>
              <w:t>项。</w:t>
            </w:r>
          </w:p>
          <w:p>
            <w:pPr>
              <w:snapToGrid w:val="0"/>
              <w:spacing w:line="320" w:lineRule="exact"/>
              <w:textAlignment w:val="baseline"/>
              <w:rPr>
                <w:rFonts w:ascii="宋体" w:hAnsi="宋体" w:cs="宋体"/>
                <w:sz w:val="20"/>
                <w:szCs w:val="21"/>
              </w:rPr>
            </w:pPr>
            <w:r>
              <w:rPr>
                <w:rFonts w:hint="eastAsia" w:ascii="宋体" w:hAnsi="宋体" w:cs="宋体"/>
                <w:szCs w:val="21"/>
              </w:rPr>
              <w:t>技术需求评审中允许负偏离的条款数为</w:t>
            </w:r>
            <w:r>
              <w:rPr>
                <w:rFonts w:ascii="宋体" w:hAnsi="宋体" w:cs="宋体"/>
                <w:szCs w:val="21"/>
                <w:u w:val="single" w:color="000000"/>
              </w:rPr>
              <w:t>2</w:t>
            </w:r>
            <w:r>
              <w:rPr>
                <w:rFonts w:hint="eastAsia" w:ascii="宋体" w:hAnsi="宋体" w:cs="宋体"/>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textAlignment w:val="baseline"/>
              <w:rPr>
                <w:rFonts w:ascii="宋体" w:hAnsi="宋体" w:cs="宋体"/>
                <w:sz w:val="20"/>
                <w:szCs w:val="21"/>
              </w:rPr>
            </w:pPr>
            <w:r>
              <w:rPr>
                <w:rFonts w:hint="eastAsia" w:ascii="宋体" w:hAnsi="宋体" w:cs="宋体"/>
                <w:szCs w:val="21"/>
              </w:rPr>
              <w:t>26.1</w:t>
            </w:r>
          </w:p>
        </w:tc>
        <w:tc>
          <w:tcPr>
            <w:tcW w:w="7912" w:type="dxa"/>
            <w:vAlign w:val="center"/>
          </w:tcPr>
          <w:p>
            <w:pPr>
              <w:snapToGrid w:val="0"/>
              <w:spacing w:line="320" w:lineRule="exact"/>
              <w:textAlignment w:val="baseline"/>
              <w:rPr>
                <w:rFonts w:ascii="宋体" w:hAnsi="宋体" w:cs="宋体"/>
                <w:sz w:val="20"/>
                <w:szCs w:val="21"/>
              </w:rPr>
            </w:pPr>
            <w:r>
              <w:rPr>
                <w:rFonts w:hint="eastAsia" w:ascii="宋体" w:hAnsi="宋体" w:cs="宋体"/>
                <w:szCs w:val="21"/>
              </w:rPr>
              <w:t>磋商的顺序：</w:t>
            </w:r>
          </w:p>
          <w:p>
            <w:pPr>
              <w:jc w:val="left"/>
              <w:textAlignment w:val="baseline"/>
              <w:rPr>
                <w:rFonts w:ascii="Times New Roman" w:hAnsi="Times New Roman"/>
                <w:sz w:val="20"/>
                <w:szCs w:val="24"/>
              </w:rPr>
            </w:pPr>
            <w:r>
              <w:rPr>
                <w:rFonts w:hint="eastAsia" w:ascii="宋体" w:hAnsi="宋体" w:cs="宋体"/>
                <w:szCs w:val="21"/>
              </w:rPr>
              <w:t>□</w:t>
            </w:r>
            <w:r>
              <w:rPr>
                <w:rFonts w:hint="eastAsia" w:ascii="Times New Roman" w:hAnsi="Times New Roman"/>
                <w:szCs w:val="24"/>
              </w:rPr>
              <w:t>按照</w:t>
            </w:r>
            <w:r>
              <w:rPr>
                <w:rFonts w:hint="eastAsia" w:ascii="宋体" w:hAnsi="宋体" w:cs="宋体"/>
                <w:szCs w:val="21"/>
              </w:rPr>
              <w:t>提交首次响应文件的顺序，</w:t>
            </w:r>
            <w:r>
              <w:rPr>
                <w:rFonts w:hint="eastAsia" w:ascii="Times New Roman" w:hAnsi="Times New Roman"/>
                <w:szCs w:val="24"/>
              </w:rPr>
              <w:t>如出现某供应商不能按时参加磋商的情形，则该供应商的磋商次序往后延，具体由磋商小组确定</w:t>
            </w:r>
            <w:r>
              <w:rPr>
                <w:rFonts w:hint="eastAsia" w:ascii="宋体" w:hAnsi="宋体" w:cs="宋体"/>
                <w:szCs w:val="21"/>
              </w:rPr>
              <w:t>。</w:t>
            </w:r>
          </w:p>
          <w:p>
            <w:pPr>
              <w:snapToGrid w:val="0"/>
              <w:spacing w:line="320" w:lineRule="exact"/>
              <w:textAlignment w:val="baseline"/>
              <w:rPr>
                <w:rFonts w:ascii="宋体" w:hAnsi="宋体" w:cs="宋体"/>
                <w:sz w:val="20"/>
                <w:szCs w:val="21"/>
              </w:rPr>
            </w:pPr>
            <w:r>
              <w:rPr>
                <w:rFonts w:hint="eastAsia" w:ascii="宋体" w:hAnsi="宋体" w:cs="宋体"/>
                <w:szCs w:val="21"/>
              </w:rPr>
              <w:t>√随机排序。</w:t>
            </w:r>
          </w:p>
          <w:p>
            <w:pPr>
              <w:spacing w:line="320" w:lineRule="exact"/>
              <w:jc w:val="left"/>
              <w:textAlignment w:val="baseline"/>
              <w:rPr>
                <w:rFonts w:ascii="宋体" w:hAnsi="宋体" w:cs="宋体"/>
                <w:b/>
                <w:sz w:val="20"/>
                <w:szCs w:val="21"/>
              </w:rPr>
            </w:pPr>
            <w:r>
              <w:rPr>
                <w:rFonts w:hint="eastAsia" w:ascii="宋体" w:hAnsi="宋体" w:cs="宋体"/>
                <w:b/>
                <w:szCs w:val="21"/>
              </w:rPr>
              <w:t>参与磋商前，供应商法定代表人或委托代理人必须向磋商小组出示本人有效证件原件</w:t>
            </w:r>
            <w:r>
              <w:rPr>
                <w:rFonts w:ascii="宋体" w:hAnsi="宋体" w:cs="宋体"/>
                <w:b/>
                <w:szCs w:val="21"/>
              </w:rPr>
              <w:t>[</w:t>
            </w:r>
            <w:r>
              <w:rPr>
                <w:rFonts w:hint="eastAsia" w:ascii="宋体" w:hAnsi="宋体" w:cs="宋体"/>
                <w:b/>
                <w:szCs w:val="21"/>
              </w:rPr>
              <w:t>有效证件可以是身份证（含临时身份证明）、机动车驾驶证、社会保障卡或护照的其中一项]，若参与磋商的委托代理人不是响应文件中承诺的授权委托代理人的，应当同时出示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textAlignment w:val="baseline"/>
              <w:rPr>
                <w:rFonts w:ascii="宋体" w:hAnsi="宋体" w:cs="宋体"/>
                <w:sz w:val="20"/>
                <w:szCs w:val="21"/>
              </w:rPr>
            </w:pPr>
            <w:r>
              <w:rPr>
                <w:rFonts w:hint="eastAsia" w:ascii="宋体" w:hAnsi="宋体" w:cs="宋体"/>
                <w:szCs w:val="21"/>
              </w:rPr>
              <w:t>26.2</w:t>
            </w:r>
          </w:p>
        </w:tc>
        <w:tc>
          <w:tcPr>
            <w:tcW w:w="7912" w:type="dxa"/>
            <w:vAlign w:val="center"/>
          </w:tcPr>
          <w:p>
            <w:pPr>
              <w:spacing w:line="320" w:lineRule="exact"/>
              <w:textAlignment w:val="baseline"/>
              <w:rPr>
                <w:rFonts w:ascii="宋体" w:hAnsi="宋体" w:cs="宋体"/>
                <w:sz w:val="20"/>
                <w:szCs w:val="21"/>
              </w:rPr>
            </w:pPr>
            <w:r>
              <w:rPr>
                <w:rFonts w:hint="eastAsia" w:ascii="宋体" w:hAnsi="宋体" w:cs="宋体"/>
                <w:szCs w:val="21"/>
              </w:rPr>
              <w:t>可能实质性变动的内容：</w:t>
            </w:r>
          </w:p>
          <w:p>
            <w:pPr>
              <w:spacing w:line="320" w:lineRule="exact"/>
              <w:textAlignment w:val="baseline"/>
              <w:rPr>
                <w:rFonts w:ascii="宋体" w:hAnsi="宋体" w:cs="宋体"/>
                <w:sz w:val="20"/>
                <w:szCs w:val="21"/>
              </w:rPr>
            </w:pPr>
            <w:r>
              <w:rPr>
                <w:rFonts w:hint="eastAsia" w:ascii="宋体" w:hAnsi="宋体" w:cs="宋体"/>
                <w:szCs w:val="21"/>
              </w:rPr>
              <w:t>采购需求中的技术、服务要求以及合同草案条款。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textAlignment w:val="baseline"/>
              <w:rPr>
                <w:rFonts w:ascii="宋体" w:hAnsi="宋体" w:cs="宋体"/>
                <w:sz w:val="20"/>
                <w:szCs w:val="21"/>
              </w:rPr>
            </w:pPr>
            <w:r>
              <w:rPr>
                <w:rFonts w:hint="eastAsia" w:ascii="宋体" w:hAnsi="宋体" w:cs="宋体"/>
                <w:szCs w:val="21"/>
              </w:rPr>
              <w:t>3</w:t>
            </w:r>
            <w:r>
              <w:rPr>
                <w:rFonts w:ascii="宋体" w:hAnsi="宋体" w:cs="宋体"/>
                <w:szCs w:val="21"/>
              </w:rPr>
              <w:t>0.1</w:t>
            </w:r>
          </w:p>
        </w:tc>
        <w:tc>
          <w:tcPr>
            <w:tcW w:w="7912" w:type="dxa"/>
            <w:vAlign w:val="center"/>
          </w:tcPr>
          <w:p>
            <w:pPr>
              <w:pStyle w:val="191"/>
              <w:spacing w:line="300" w:lineRule="exact"/>
              <w:textAlignment w:val="baseline"/>
              <w:rPr>
                <w:rFonts w:hAnsi="宋体" w:cs="宋体"/>
              </w:rPr>
            </w:pPr>
            <w:r>
              <w:rPr>
                <w:rFonts w:hint="eastAsia" w:hAnsi="宋体" w:cs="宋体"/>
              </w:rPr>
              <w:t>履约保证金：</w:t>
            </w:r>
            <w:r>
              <w:rPr>
                <w:rFonts w:hint="eastAsia" w:hAnsi="宋体" w:cs="宋体"/>
                <w:lang w:val="en-US" w:eastAsia="zh-CN"/>
              </w:rPr>
              <w:t>壹拾</w:t>
            </w:r>
            <w:r>
              <w:rPr>
                <w:rFonts w:hint="eastAsia" w:hAnsi="宋体" w:cs="宋体"/>
              </w:rPr>
              <w:t>万元整</w:t>
            </w:r>
            <w:r>
              <w:rPr>
                <w:rFonts w:hAnsi="宋体" w:cs="宋体"/>
              </w:rPr>
              <w:t>（</w:t>
            </w:r>
            <w:r>
              <w:rPr>
                <w:rFonts w:hint="eastAsia" w:hAnsi="宋体" w:cs="宋体"/>
              </w:rPr>
              <w:t>¥</w:t>
            </w:r>
            <w:r>
              <w:rPr>
                <w:rFonts w:hint="eastAsia" w:hAnsi="宋体" w:cs="宋体"/>
                <w:lang w:val="en-US" w:eastAsia="zh-CN"/>
              </w:rPr>
              <w:t>10</w:t>
            </w:r>
            <w:r>
              <w:rPr>
                <w:rFonts w:hAnsi="宋体" w:cs="宋体"/>
              </w:rPr>
              <w:t>0000.00）</w:t>
            </w:r>
          </w:p>
          <w:p>
            <w:pPr>
              <w:snapToGrid w:val="0"/>
              <w:spacing w:line="360" w:lineRule="exact"/>
              <w:ind w:firstLine="420" w:firstLineChars="200"/>
              <w:textAlignment w:val="baseline"/>
              <w:rPr>
                <w:rFonts w:ascii="宋体" w:hAnsi="宋体" w:cs="仿宋"/>
                <w:bCs/>
                <w:sz w:val="20"/>
                <w:szCs w:val="20"/>
              </w:rPr>
            </w:pPr>
            <w:r>
              <w:rPr>
                <w:rFonts w:hint="eastAsia" w:ascii="宋体" w:hAnsi="宋体" w:cs="仿宋"/>
                <w:bCs/>
                <w:szCs w:val="20"/>
              </w:rPr>
              <w:t>成交人（乙方）在签订本项目合同前，须向招标采购单位（甲方）交纳</w:t>
            </w:r>
            <w:r>
              <w:rPr>
                <w:rFonts w:hint="eastAsia" w:hAnsi="宋体" w:cs="宋体"/>
                <w:lang w:val="en-US" w:eastAsia="zh-CN"/>
              </w:rPr>
              <w:t>壹拾</w:t>
            </w:r>
            <w:r>
              <w:rPr>
                <w:rFonts w:hint="eastAsia" w:ascii="宋体" w:hAnsi="宋体" w:cs="仿宋"/>
                <w:bCs/>
                <w:szCs w:val="20"/>
              </w:rPr>
              <w:t>万元整（¥</w:t>
            </w:r>
            <w:r>
              <w:rPr>
                <w:rFonts w:hint="eastAsia" w:ascii="宋体" w:hAnsi="宋体" w:cs="仿宋"/>
                <w:bCs/>
                <w:szCs w:val="20"/>
                <w:lang w:val="en-US" w:eastAsia="zh-CN"/>
              </w:rPr>
              <w:t>10</w:t>
            </w:r>
            <w:r>
              <w:rPr>
                <w:rFonts w:ascii="宋体" w:hAnsi="宋体" w:cs="仿宋"/>
                <w:bCs/>
                <w:szCs w:val="20"/>
              </w:rPr>
              <w:t>0000.00</w:t>
            </w:r>
            <w:r>
              <w:rPr>
                <w:rFonts w:hint="eastAsia" w:ascii="宋体" w:hAnsi="宋体" w:cs="仿宋"/>
                <w:bCs/>
                <w:szCs w:val="20"/>
              </w:rPr>
              <w:t>）履约保证金，以保证承包期间正常运行，如乙方违反相关法律法规，不履行所订立的合同，甲方有权解除合同，履约保证金不予返还。所造成的损失超过履约保证金数额的，还应对超出部分予以赔偿。</w:t>
            </w:r>
          </w:p>
          <w:p>
            <w:pPr>
              <w:snapToGrid w:val="0"/>
              <w:spacing w:line="360" w:lineRule="exact"/>
              <w:ind w:firstLine="420" w:firstLineChars="200"/>
              <w:textAlignment w:val="baseline"/>
              <w:rPr>
                <w:rFonts w:ascii="宋体" w:hAnsi="宋体" w:cs="仿宋"/>
                <w:bCs/>
                <w:sz w:val="20"/>
                <w:szCs w:val="20"/>
              </w:rPr>
            </w:pPr>
            <w:r>
              <w:rPr>
                <w:rFonts w:hint="eastAsia" w:ascii="宋体" w:hAnsi="宋体" w:cs="仿宋"/>
                <w:bCs/>
                <w:szCs w:val="20"/>
              </w:rPr>
              <w:t>履约保证金交至采购人账户：</w:t>
            </w:r>
          </w:p>
          <w:p>
            <w:pPr>
              <w:snapToGrid w:val="0"/>
              <w:spacing w:line="400" w:lineRule="exact"/>
              <w:textAlignment w:val="bottom"/>
              <w:rPr>
                <w:rFonts w:ascii="宋体" w:hAnsi="宋体"/>
                <w:sz w:val="20"/>
              </w:rPr>
            </w:pPr>
            <w:r>
              <w:rPr>
                <w:rFonts w:hint="eastAsia" w:ascii="宋体" w:hAnsi="宋体"/>
              </w:rPr>
              <w:t>开户名称：广西南博国际会展有限责任公司</w:t>
            </w:r>
          </w:p>
          <w:p>
            <w:pPr>
              <w:snapToGrid w:val="0"/>
              <w:spacing w:line="400" w:lineRule="exact"/>
              <w:textAlignment w:val="bottom"/>
              <w:rPr>
                <w:rFonts w:ascii="宋体" w:hAnsi="宋体"/>
                <w:sz w:val="20"/>
              </w:rPr>
            </w:pPr>
            <w:r>
              <w:rPr>
                <w:rFonts w:hint="eastAsia" w:ascii="宋体" w:hAnsi="宋体"/>
              </w:rPr>
              <w:t>开户银行：（成交后</w:t>
            </w:r>
            <w:r>
              <w:rPr>
                <w:rFonts w:ascii="宋体" w:hAnsi="宋体"/>
              </w:rPr>
              <w:t>提供</w:t>
            </w:r>
            <w:r>
              <w:rPr>
                <w:rFonts w:hint="eastAsia" w:ascii="宋体" w:hAnsi="宋体"/>
              </w:rPr>
              <w:t>）</w:t>
            </w:r>
          </w:p>
          <w:p>
            <w:pPr>
              <w:snapToGrid w:val="0"/>
              <w:spacing w:line="400" w:lineRule="exact"/>
              <w:textAlignment w:val="bottom"/>
              <w:rPr>
                <w:rFonts w:ascii="宋体" w:hAnsi="宋体"/>
                <w:sz w:val="20"/>
              </w:rPr>
            </w:pPr>
            <w:r>
              <w:rPr>
                <w:rFonts w:hint="eastAsia" w:ascii="宋体" w:hAnsi="宋体"/>
              </w:rPr>
              <w:t>银行账号：（成交后</w:t>
            </w:r>
            <w:r>
              <w:rPr>
                <w:rFonts w:ascii="宋体" w:hAnsi="宋体"/>
              </w:rPr>
              <w:t>提供</w:t>
            </w:r>
            <w:r>
              <w:rPr>
                <w:rFonts w:hint="eastAsia" w:ascii="宋体" w:hAnsi="宋体"/>
              </w:rPr>
              <w:t>）</w:t>
            </w:r>
          </w:p>
          <w:p>
            <w:pPr>
              <w:snapToGrid w:val="0"/>
              <w:spacing w:line="440" w:lineRule="exact"/>
              <w:textAlignment w:val="bottom"/>
              <w:rPr>
                <w:rFonts w:hAnsi="宋体" w:cs="仿宋"/>
                <w:bCs/>
                <w:sz w:val="20"/>
              </w:rPr>
            </w:pPr>
            <w:r>
              <w:rPr>
                <w:rFonts w:hint="eastAsia" w:ascii="宋体" w:hAnsi="宋体"/>
              </w:rPr>
              <w:t>识别号</w:t>
            </w:r>
            <w:r>
              <w:rPr>
                <w:rFonts w:ascii="宋体" w:hAnsi="宋体"/>
              </w:rPr>
              <w:t>:（成交后提供</w:t>
            </w:r>
            <w:r>
              <w:rPr>
                <w:rFonts w:hint="eastAsia" w:ascii="宋体" w:hAnsi="宋体"/>
              </w:rPr>
              <w:t>）</w:t>
            </w:r>
          </w:p>
          <w:p>
            <w:pPr>
              <w:jc w:val="left"/>
              <w:textAlignment w:val="baseline"/>
              <w:rPr>
                <w:rFonts w:hAnsi="宋体" w:cs="仿宋"/>
                <w:bCs/>
                <w:sz w:val="20"/>
              </w:rPr>
            </w:pPr>
            <w:r>
              <w:rPr>
                <w:rFonts w:hint="eastAsia" w:hAnsi="宋体" w:cs="仿宋"/>
                <w:bCs/>
              </w:rPr>
              <w:t>履约保证金在承包期满后乙方向甲方办理退付手续，甲方将在收到完整且合格的退付申请资料后五个工作日内以转账或电汇方式无息退还乙方。</w:t>
            </w:r>
          </w:p>
          <w:p>
            <w:pPr>
              <w:jc w:val="left"/>
              <w:textAlignment w:val="baseline"/>
              <w:rPr>
                <w:rFonts w:ascii="宋体" w:hAnsi="宋体" w:cs="宋体"/>
                <w:sz w:val="20"/>
                <w:szCs w:val="21"/>
              </w:rPr>
            </w:pPr>
            <w:r>
              <w:rPr>
                <w:rFonts w:hint="eastAsia" w:ascii="宋体" w:hAnsi="宋体" w:cs="宋体"/>
                <w:szCs w:val="21"/>
              </w:rPr>
              <w:t>备注：</w:t>
            </w:r>
          </w:p>
          <w:p>
            <w:pPr>
              <w:jc w:val="left"/>
              <w:textAlignment w:val="baseline"/>
              <w:rPr>
                <w:rFonts w:ascii="宋体" w:hAnsi="宋体" w:cs="宋体"/>
                <w:sz w:val="20"/>
                <w:szCs w:val="21"/>
              </w:rPr>
            </w:pPr>
            <w:r>
              <w:rPr>
                <w:rFonts w:hint="eastAsia" w:ascii="宋体" w:hAnsi="宋体" w:cs="宋体"/>
                <w:b/>
                <w:szCs w:val="21"/>
              </w:rPr>
              <w:t>履约保证金不足额缴纳的，或不按规定提交方式提交的，不予签订合同。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textAlignment w:val="baseline"/>
              <w:rPr>
                <w:rFonts w:ascii="宋体" w:hAnsi="宋体" w:cs="宋体"/>
                <w:sz w:val="20"/>
                <w:szCs w:val="21"/>
              </w:rPr>
            </w:pPr>
            <w:r>
              <w:rPr>
                <w:rFonts w:hint="eastAsia" w:ascii="宋体" w:hAnsi="宋体" w:cs="宋体"/>
                <w:szCs w:val="21"/>
              </w:rPr>
              <w:t>3</w:t>
            </w:r>
            <w:r>
              <w:rPr>
                <w:rFonts w:ascii="宋体" w:hAnsi="宋体" w:cs="宋体"/>
                <w:szCs w:val="21"/>
              </w:rPr>
              <w:t>1</w:t>
            </w:r>
            <w:r>
              <w:rPr>
                <w:rFonts w:hint="eastAsia" w:ascii="宋体" w:hAnsi="宋体" w:cs="宋体"/>
                <w:szCs w:val="21"/>
              </w:rPr>
              <w:t>.1</w:t>
            </w:r>
          </w:p>
        </w:tc>
        <w:tc>
          <w:tcPr>
            <w:tcW w:w="7912" w:type="dxa"/>
            <w:vAlign w:val="center"/>
          </w:tcPr>
          <w:p>
            <w:pPr>
              <w:snapToGrid w:val="0"/>
              <w:spacing w:line="320" w:lineRule="exact"/>
              <w:textAlignment w:val="baseline"/>
              <w:rPr>
                <w:rFonts w:ascii="宋体" w:hAnsi="宋体" w:cs="宋体"/>
                <w:sz w:val="20"/>
                <w:szCs w:val="21"/>
              </w:rPr>
            </w:pPr>
            <w:r>
              <w:rPr>
                <w:rFonts w:hint="eastAsia" w:ascii="宋体" w:hAnsi="宋体" w:cs="宋体"/>
                <w:szCs w:val="21"/>
              </w:rPr>
              <w:t>签订合同携带的证明材料：营业执照副本原件、法定代表人授权委托书及被授权人身份证原件等其它证明材料。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textAlignment w:val="baseline"/>
              <w:rPr>
                <w:rFonts w:ascii="宋体" w:hAnsi="宋体" w:cs="宋体"/>
                <w:sz w:val="20"/>
                <w:szCs w:val="21"/>
              </w:rPr>
            </w:pPr>
            <w:r>
              <w:rPr>
                <w:rFonts w:hint="eastAsia" w:ascii="宋体" w:hAnsi="宋体" w:cs="宋体"/>
                <w:szCs w:val="21"/>
              </w:rPr>
              <w:t>3</w:t>
            </w:r>
            <w:r>
              <w:rPr>
                <w:rFonts w:ascii="宋体" w:hAnsi="宋体" w:cs="宋体"/>
                <w:szCs w:val="21"/>
              </w:rPr>
              <w:t>5.2</w:t>
            </w:r>
          </w:p>
        </w:tc>
        <w:tc>
          <w:tcPr>
            <w:tcW w:w="7912" w:type="dxa"/>
            <w:vAlign w:val="center"/>
          </w:tcPr>
          <w:p>
            <w:pPr>
              <w:snapToGrid w:val="0"/>
              <w:spacing w:line="320" w:lineRule="exact"/>
              <w:textAlignment w:val="baseline"/>
              <w:rPr>
                <w:rFonts w:ascii="宋体" w:hAnsi="宋体" w:cs="宋体"/>
                <w:sz w:val="20"/>
                <w:szCs w:val="21"/>
              </w:rPr>
            </w:pPr>
            <w:r>
              <w:rPr>
                <w:rFonts w:hint="eastAsia" w:ascii="宋体" w:hAnsi="宋体" w:cs="宋体"/>
                <w:szCs w:val="21"/>
              </w:rPr>
              <w:t>接收质疑函方式：以书面形式。</w:t>
            </w:r>
          </w:p>
          <w:p>
            <w:pPr>
              <w:snapToGrid w:val="0"/>
              <w:spacing w:line="320" w:lineRule="exact"/>
              <w:textAlignment w:val="baseline"/>
              <w:rPr>
                <w:rFonts w:hint="default" w:ascii="宋体" w:hAnsi="宋体" w:eastAsia="宋体" w:cs="宋体"/>
                <w:sz w:val="20"/>
                <w:szCs w:val="21"/>
                <w:lang w:val="en-US" w:eastAsia="zh-CN"/>
              </w:rPr>
            </w:pPr>
            <w:r>
              <w:rPr>
                <w:rFonts w:hint="eastAsia" w:ascii="宋体" w:hAnsi="宋体" w:cs="宋体"/>
                <w:szCs w:val="21"/>
              </w:rPr>
              <w:t>质疑联系部门及联系方式：</w:t>
            </w:r>
            <w:r>
              <w:rPr>
                <w:rFonts w:hint="eastAsia" w:ascii="宋体" w:hAnsi="宋体" w:cs="宋体"/>
                <w:szCs w:val="21"/>
                <w:lang w:val="en-US" w:eastAsia="zh-CN"/>
              </w:rPr>
              <w:t>集团经营部</w:t>
            </w:r>
            <w:r>
              <w:rPr>
                <w:rFonts w:hint="eastAsia" w:ascii="宋体" w:hAnsi="宋体" w:cs="宋体"/>
                <w:szCs w:val="21"/>
              </w:rPr>
              <w:t>，联系电话：</w:t>
            </w:r>
            <w:r>
              <w:rPr>
                <w:rFonts w:hint="eastAsia" w:ascii="宋体" w:hAnsi="宋体" w:cs="宋体"/>
                <w:kern w:val="0"/>
                <w:szCs w:val="21"/>
              </w:rPr>
              <w:t>0771-</w:t>
            </w:r>
            <w:r>
              <w:rPr>
                <w:rFonts w:hint="eastAsia" w:ascii="宋体" w:hAnsi="宋体" w:cs="宋体"/>
                <w:kern w:val="0"/>
                <w:szCs w:val="21"/>
                <w:lang w:val="en-US" w:eastAsia="zh-CN"/>
              </w:rPr>
              <w:t>2212640</w:t>
            </w:r>
            <w:r>
              <w:rPr>
                <w:rFonts w:hint="eastAsia" w:ascii="宋体" w:hAnsi="宋体" w:cs="宋体"/>
                <w:szCs w:val="21"/>
              </w:rPr>
              <w:t>，通讯地址：</w:t>
            </w:r>
            <w:r>
              <w:rPr>
                <w:rFonts w:hint="eastAsia" w:ascii="宋体" w:hAnsi="宋体" w:cs="宋体"/>
                <w:szCs w:val="21"/>
                <w:lang w:val="en-US" w:eastAsia="zh-CN"/>
              </w:rPr>
              <w:t>广西南宁会展路18号会展大厦11楼</w:t>
            </w:r>
          </w:p>
          <w:p>
            <w:pPr>
              <w:snapToGrid w:val="0"/>
              <w:spacing w:line="320" w:lineRule="exact"/>
              <w:textAlignment w:val="baseline"/>
              <w:rPr>
                <w:rFonts w:ascii="宋体" w:hAnsi="宋体" w:cs="宋体"/>
                <w:sz w:val="20"/>
                <w:szCs w:val="21"/>
              </w:rPr>
            </w:pPr>
            <w:r>
              <w:rPr>
                <w:rFonts w:hint="eastAsia" w:ascii="宋体" w:hAnsi="宋体" w:cs="宋体"/>
                <w:kern w:val="0"/>
                <w:szCs w:val="21"/>
              </w:rPr>
              <w:t>业务时间：上午8时00分到12时00分，下午</w:t>
            </w:r>
            <w:r>
              <w:rPr>
                <w:rFonts w:ascii="宋体" w:hAnsi="宋体" w:cs="宋体"/>
                <w:kern w:val="0"/>
                <w:szCs w:val="21"/>
              </w:rPr>
              <w:t>3</w:t>
            </w:r>
            <w:r>
              <w:rPr>
                <w:rFonts w:hint="eastAsia" w:ascii="宋体" w:hAnsi="宋体" w:cs="宋体"/>
                <w:kern w:val="0"/>
                <w:szCs w:val="21"/>
              </w:rPr>
              <w:t>时00分到</w:t>
            </w:r>
            <w:r>
              <w:rPr>
                <w:rFonts w:ascii="宋体" w:hAnsi="宋体" w:cs="宋体"/>
                <w:kern w:val="0"/>
                <w:szCs w:val="21"/>
              </w:rPr>
              <w:t>6</w:t>
            </w:r>
            <w:r>
              <w:rPr>
                <w:rFonts w:hint="eastAsia" w:ascii="宋体" w:hAnsi="宋体" w:cs="宋体"/>
                <w:kern w:val="0"/>
                <w:szCs w:val="21"/>
              </w:rPr>
              <w:t>时00分，双休日和法定节假日不办理业务。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20" w:lineRule="exact"/>
              <w:jc w:val="center"/>
              <w:textAlignment w:val="baseline"/>
              <w:rPr>
                <w:rFonts w:ascii="宋体" w:hAnsi="宋体" w:cs="宋体"/>
                <w:sz w:val="20"/>
                <w:szCs w:val="21"/>
              </w:rPr>
            </w:pPr>
          </w:p>
        </w:tc>
        <w:tc>
          <w:tcPr>
            <w:tcW w:w="7912" w:type="dxa"/>
            <w:vAlign w:val="center"/>
          </w:tcPr>
          <w:p>
            <w:pPr>
              <w:snapToGrid w:val="0"/>
              <w:spacing w:line="320" w:lineRule="exact"/>
              <w:textAlignment w:val="baseline"/>
              <w:rPr>
                <w:rFonts w:ascii="宋体" w:hAnsi="宋体" w:cs="宋体"/>
                <w:kern w:val="0"/>
                <w:sz w:val="20"/>
                <w:szCs w:val="21"/>
              </w:rPr>
            </w:pPr>
            <w:r>
              <w:rPr>
                <w:rFonts w:hint="eastAsia" w:ascii="宋体" w:hAnsi="宋体" w:cs="宋体"/>
                <w:kern w:val="0"/>
                <w:szCs w:val="21"/>
              </w:rPr>
              <w:t>1.本竞争性磋商文件中描述供应商的“公章”是指根据我国对公章的管理规定，用供应商法定主体行为名称制作的印章，除本竞争性磋商文件有特殊规定外，供应商的财务章、部门章、分公司章、工会章、合同章、竞标/投标专用章、业务专用章及银行的转账章、现金收讫章、现金付讫章等其它形式印章均不能代替公章。</w:t>
            </w:r>
          </w:p>
          <w:p>
            <w:pPr>
              <w:snapToGrid w:val="0"/>
              <w:spacing w:line="320" w:lineRule="exact"/>
              <w:textAlignment w:val="baseline"/>
              <w:rPr>
                <w:rFonts w:ascii="宋体" w:hAnsi="宋体" w:cs="宋体"/>
                <w:kern w:val="0"/>
                <w:sz w:val="20"/>
                <w:szCs w:val="21"/>
              </w:rPr>
            </w:pPr>
            <w:r>
              <w:rPr>
                <w:rFonts w:hint="eastAsia" w:ascii="宋体" w:hAnsi="宋体" w:cs="宋体"/>
                <w:kern w:val="0"/>
                <w:szCs w:val="21"/>
              </w:rPr>
              <w:t>2.供应商为其他组织或自然人时，本竞争性磋商文件规定的法定代表人指负责人或自然人。本竞争性磋商文件所称负责人是指参加竞标的其他组织营业执照上的负责人，本竞争性磋商文件所称自然人指参与竞标的自然人本人。</w:t>
            </w:r>
          </w:p>
          <w:p>
            <w:pPr>
              <w:snapToGrid w:val="0"/>
              <w:spacing w:line="320" w:lineRule="exact"/>
              <w:textAlignment w:val="baseline"/>
              <w:rPr>
                <w:rFonts w:ascii="宋体" w:hAnsi="宋体" w:cs="宋体"/>
                <w:kern w:val="0"/>
                <w:sz w:val="20"/>
                <w:szCs w:val="21"/>
              </w:rPr>
            </w:pPr>
            <w:r>
              <w:rPr>
                <w:rFonts w:ascii="宋体" w:hAnsi="宋体" w:cs="宋体"/>
                <w:kern w:val="0"/>
                <w:szCs w:val="21"/>
              </w:rPr>
              <w:t>3.</w:t>
            </w:r>
            <w:r>
              <w:rPr>
                <w:rFonts w:hint="eastAsia" w:ascii="宋体" w:hAnsi="宋体" w:cs="宋体"/>
                <w:kern w:val="0"/>
                <w:szCs w:val="21"/>
              </w:rPr>
              <w:t>本竞争性磋商文件中描述供应商的“签字”是指供应商的法定代表人或委托代理人亲自在文件规定签署处亲笔写上个人的名字的行为，私章、签字章、印鉴、影印等其它形式均不能代替亲笔签字。</w:t>
            </w:r>
          </w:p>
          <w:p>
            <w:pPr>
              <w:snapToGrid w:val="0"/>
              <w:spacing w:line="320" w:lineRule="exact"/>
              <w:textAlignment w:val="baseline"/>
              <w:rPr>
                <w:rFonts w:ascii="宋体" w:hAnsi="宋体" w:cs="宋体"/>
                <w:kern w:val="0"/>
                <w:sz w:val="20"/>
                <w:szCs w:val="21"/>
              </w:rPr>
            </w:pPr>
            <w:r>
              <w:rPr>
                <w:rFonts w:ascii="宋体" w:hAnsi="宋体" w:cs="宋体"/>
                <w:kern w:val="0"/>
                <w:szCs w:val="21"/>
              </w:rPr>
              <w:t>4.</w:t>
            </w:r>
            <w:r>
              <w:rPr>
                <w:rFonts w:hint="eastAsia" w:ascii="宋体" w:hAnsi="宋体" w:cs="宋体"/>
                <w:kern w:val="0"/>
                <w:szCs w:val="21"/>
              </w:rPr>
              <w:t>自然人竞标的，竞争性磋商文件规定盖公章处由自然人摁手指指印。</w:t>
            </w:r>
          </w:p>
          <w:p>
            <w:pPr>
              <w:snapToGrid w:val="0"/>
              <w:spacing w:line="320" w:lineRule="exact"/>
              <w:textAlignment w:val="baseline"/>
              <w:rPr>
                <w:rFonts w:ascii="宋体" w:hAnsi="宋体" w:cs="宋体"/>
                <w:kern w:val="0"/>
                <w:sz w:val="2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本竞争性磋商文件所称的“以上”“以下”“以内”“届满”，包括本数；所称的“不满”“超过”“以外”，不包括本数。</w:t>
            </w:r>
          </w:p>
        </w:tc>
      </w:tr>
    </w:tbl>
    <w:p>
      <w:pPr>
        <w:widowControl/>
        <w:jc w:val="left"/>
        <w:rPr>
          <w:rFonts w:ascii="宋体" w:hAnsi="宋体"/>
          <w:b/>
          <w:sz w:val="32"/>
          <w:szCs w:val="32"/>
        </w:rPr>
      </w:pPr>
      <w:r>
        <w:rPr>
          <w:rFonts w:ascii="宋体" w:hAnsi="宋体"/>
          <w:b/>
          <w:sz w:val="32"/>
          <w:szCs w:val="32"/>
        </w:rPr>
        <w:br w:type="page"/>
      </w:r>
    </w:p>
    <w:p>
      <w:pPr>
        <w:spacing w:line="400" w:lineRule="exact"/>
        <w:jc w:val="center"/>
        <w:textAlignment w:val="baseline"/>
        <w:rPr>
          <w:rFonts w:ascii="宋体" w:hAnsi="宋体"/>
          <w:b/>
          <w:sz w:val="32"/>
        </w:rPr>
      </w:pPr>
      <w:r>
        <w:rPr>
          <w:rFonts w:hint="eastAsia" w:ascii="宋体" w:hAnsi="宋体"/>
          <w:b/>
          <w:sz w:val="32"/>
          <w:szCs w:val="32"/>
        </w:rPr>
        <w:t>供应商须知正文</w:t>
      </w:r>
    </w:p>
    <w:p>
      <w:pPr>
        <w:spacing w:line="400" w:lineRule="exact"/>
        <w:jc w:val="center"/>
        <w:textAlignment w:val="baseline"/>
        <w:rPr>
          <w:rFonts w:ascii="宋体" w:hAnsi="宋体"/>
          <w:b/>
          <w:sz w:val="32"/>
          <w:szCs w:val="32"/>
        </w:rPr>
      </w:pPr>
    </w:p>
    <w:p>
      <w:pPr>
        <w:spacing w:line="400" w:lineRule="exact"/>
        <w:jc w:val="center"/>
        <w:textAlignment w:val="baseline"/>
        <w:rPr>
          <w:rFonts w:ascii="宋体" w:hAnsi="宋体"/>
          <w:b/>
          <w:sz w:val="32"/>
          <w:szCs w:val="32"/>
        </w:rPr>
      </w:pPr>
      <w:r>
        <w:rPr>
          <w:rFonts w:hint="eastAsia" w:ascii="宋体" w:hAnsi="宋体"/>
          <w:b/>
          <w:sz w:val="32"/>
          <w:szCs w:val="32"/>
        </w:rPr>
        <w:t>一、总则</w:t>
      </w:r>
    </w:p>
    <w:p>
      <w:pPr>
        <w:spacing w:line="400" w:lineRule="exact"/>
        <w:textAlignment w:val="baseline"/>
        <w:rPr>
          <w:rFonts w:ascii="宋体" w:hAnsi="宋体"/>
          <w:sz w:val="20"/>
          <w:szCs w:val="21"/>
        </w:rPr>
      </w:pP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1.适用范围</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1.1本项目采购人、供应商、磋商小组的相关行为均受有关法规规定的约束和保护。</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1.2</w:t>
      </w:r>
      <w:r>
        <w:rPr>
          <w:rFonts w:hint="eastAsia" w:ascii="宋体" w:hAnsi="宋体" w:cs="宋体"/>
          <w:spacing w:val="-6"/>
          <w:szCs w:val="21"/>
        </w:rPr>
        <w:t>本竞争性磋商文件适用于本项目的所有采购程序和环节（法律、法规另有规定的，从其规定）。</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2.定义</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2.1“采购人”是指依法进行采购的国家机关、事业单位、团体组织。</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2.2“供应商”是指向采购人提供货物、工程或者服务的法人、其他组织或者自然人。</w:t>
      </w:r>
    </w:p>
    <w:p>
      <w:pPr>
        <w:spacing w:line="380" w:lineRule="exact"/>
        <w:ind w:firstLine="420" w:firstLineChars="200"/>
        <w:textAlignment w:val="baseline"/>
        <w:rPr>
          <w:rFonts w:ascii="宋体" w:hAnsi="宋体" w:cs="宋体"/>
          <w:sz w:val="20"/>
          <w:szCs w:val="21"/>
        </w:rPr>
      </w:pPr>
      <w:r>
        <w:rPr>
          <w:rFonts w:hint="eastAsia" w:ascii="宋体" w:hAnsi="宋体"/>
          <w:szCs w:val="21"/>
        </w:rPr>
        <w:t>2.</w:t>
      </w:r>
      <w:r>
        <w:rPr>
          <w:rFonts w:hint="eastAsia" w:ascii="宋体" w:hAnsi="宋体"/>
          <w:szCs w:val="21"/>
          <w:lang w:val="en-US" w:eastAsia="zh-CN"/>
        </w:rPr>
        <w:t>3</w:t>
      </w:r>
      <w:r>
        <w:rPr>
          <w:rFonts w:hint="eastAsia" w:ascii="宋体" w:hAnsi="宋体"/>
          <w:szCs w:val="21"/>
        </w:rPr>
        <w:t>“服务”是指除货物和工程以外的其他采购对象。</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w:t>
      </w:r>
      <w:r>
        <w:rPr>
          <w:rFonts w:hint="eastAsia" w:ascii="宋体" w:hAnsi="宋体" w:cs="宋体"/>
          <w:szCs w:val="21"/>
          <w:lang w:val="en-US" w:eastAsia="zh-CN"/>
        </w:rPr>
        <w:t>4</w:t>
      </w:r>
      <w:r>
        <w:rPr>
          <w:rFonts w:hint="eastAsia" w:ascii="宋体" w:hAnsi="宋体" w:cs="宋体"/>
          <w:szCs w:val="21"/>
        </w:rPr>
        <w:t>“竞标”是指供应商按照本项目竞争性磋商公告（邀请函）规定的方式获取竞争性磋商文件、提交响应文件并希望获得标的的行为。</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“响应文件”</w:t>
      </w:r>
      <w:r>
        <w:rPr>
          <w:rFonts w:hint="eastAsia" w:ascii="宋体" w:hAnsi="宋体" w:cs="宋体"/>
          <w:spacing w:val="-6"/>
          <w:szCs w:val="21"/>
        </w:rPr>
        <w:t>是指：供应商根据本竞争性磋商文件要求，编制包含资格证明、报价商务技术等所有内容的文件。</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w:t>
      </w:r>
      <w:r>
        <w:rPr>
          <w:rFonts w:hint="eastAsia" w:ascii="宋体" w:hAnsi="宋体" w:cs="宋体"/>
          <w:szCs w:val="21"/>
          <w:lang w:val="en-US" w:eastAsia="zh-CN"/>
        </w:rPr>
        <w:t>6</w:t>
      </w:r>
      <w:r>
        <w:rPr>
          <w:rFonts w:hint="eastAsia" w:ascii="宋体" w:hAnsi="宋体" w:cs="宋体"/>
          <w:szCs w:val="21"/>
        </w:rPr>
        <w:t>“实质性要求”是指竞争性磋商文件中已经指明不满足则响应文件按无效响应处理的条款，或不能负偏离的条款，或采购需求中带“</w:t>
      </w:r>
      <w:r>
        <w:rPr>
          <w:rFonts w:hint="eastAsia" w:ascii="宋体" w:hAnsi="宋体"/>
          <w:b/>
          <w:szCs w:val="21"/>
        </w:rPr>
        <w:t>▲</w:t>
      </w:r>
      <w:r>
        <w:rPr>
          <w:rFonts w:hint="eastAsia" w:ascii="宋体" w:hAnsi="宋体" w:cs="宋体"/>
          <w:szCs w:val="21"/>
        </w:rPr>
        <w:t>”的条款。</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w:t>
      </w:r>
      <w:r>
        <w:rPr>
          <w:rFonts w:hint="eastAsia" w:ascii="宋体" w:hAnsi="宋体" w:cs="宋体"/>
          <w:szCs w:val="21"/>
          <w:lang w:val="en-US" w:eastAsia="zh-CN"/>
        </w:rPr>
        <w:t>7</w:t>
      </w:r>
      <w:r>
        <w:rPr>
          <w:rFonts w:hint="eastAsia" w:ascii="宋体" w:hAnsi="宋体" w:cs="宋体"/>
          <w:szCs w:val="21"/>
        </w:rPr>
        <w:t>“正偏离”，是指响应文件对竞争性磋商文件“采购需求”中有关条款作出的响应优于条款要求并有利于采购人的情形。</w:t>
      </w:r>
    </w:p>
    <w:p>
      <w:pPr>
        <w:spacing w:line="380" w:lineRule="exact"/>
        <w:ind w:firstLine="420" w:firstLineChars="200"/>
        <w:textAlignment w:val="baseline"/>
        <w:rPr>
          <w:rFonts w:ascii="宋体" w:hAnsi="宋体" w:cs="宋体"/>
          <w:sz w:val="20"/>
          <w:szCs w:val="21"/>
        </w:rPr>
      </w:pPr>
      <w:r>
        <w:rPr>
          <w:rFonts w:ascii="宋体" w:hAnsi="宋体" w:cs="宋体"/>
          <w:szCs w:val="21"/>
        </w:rPr>
        <w:t>2.</w:t>
      </w:r>
      <w:r>
        <w:rPr>
          <w:rFonts w:hint="eastAsia" w:ascii="宋体" w:hAnsi="宋体" w:cs="宋体"/>
          <w:szCs w:val="21"/>
          <w:lang w:val="en-US" w:eastAsia="zh-CN"/>
        </w:rPr>
        <w:t>8</w:t>
      </w:r>
      <w:r>
        <w:rPr>
          <w:rFonts w:hint="eastAsia" w:ascii="宋体" w:hAnsi="宋体" w:cs="宋体"/>
          <w:szCs w:val="21"/>
        </w:rPr>
        <w:t>“负偏离”，是指响应文件对竞争性磋商文件“采购需求”中有关条款作出的响应不满足条款要求导致采购人要求不能得到满足的情形。</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w:t>
      </w:r>
      <w:r>
        <w:rPr>
          <w:rFonts w:hint="eastAsia" w:ascii="宋体" w:hAnsi="宋体" w:cs="宋体"/>
          <w:szCs w:val="21"/>
          <w:lang w:val="en-US" w:eastAsia="zh-CN"/>
        </w:rPr>
        <w:t>9</w:t>
      </w:r>
      <w:r>
        <w:rPr>
          <w:rFonts w:hint="eastAsia" w:ascii="宋体" w:hAnsi="宋体" w:cs="宋体"/>
          <w:szCs w:val="21"/>
        </w:rPr>
        <w:t>“允许负偏离的条款”是指采购需求中的不属于“实质性要求”的条款。</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w:t>
      </w:r>
      <w:r>
        <w:rPr>
          <w:rFonts w:ascii="宋体" w:hAnsi="宋体" w:cs="宋体"/>
          <w:szCs w:val="21"/>
        </w:rPr>
        <w:t>1</w:t>
      </w:r>
      <w:r>
        <w:rPr>
          <w:rFonts w:hint="eastAsia" w:ascii="宋体" w:hAnsi="宋体" w:cs="宋体"/>
          <w:szCs w:val="21"/>
          <w:lang w:val="en-US" w:eastAsia="zh-CN"/>
        </w:rPr>
        <w:t>0</w:t>
      </w:r>
      <w:r>
        <w:rPr>
          <w:rFonts w:hint="eastAsia" w:ascii="宋体" w:hAnsi="宋体" w:cs="宋体"/>
          <w:szCs w:val="21"/>
        </w:rPr>
        <w:t>“书面形式”是指合同书、信件和数据电文（包括电报、电传、传真、电子数据交换和电子邮件）等可以有形地表现所载内容的形式。</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3.供应商的资格条件</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供应商的资格条件详见“供应商须知前附表”。</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4.竞标费用</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供应商获取竞争性磋商文件、所有与编制和提交响应文件有关的费用（竞争性磋商文件有相关规定的除外），不论竞标结果如何，均应自行承担。</w:t>
      </w:r>
    </w:p>
    <w:p>
      <w:pPr>
        <w:spacing w:line="380" w:lineRule="exact"/>
        <w:ind w:firstLine="422" w:firstLineChars="200"/>
        <w:textAlignment w:val="baseline"/>
        <w:rPr>
          <w:rFonts w:ascii="宋体" w:hAnsi="宋体" w:cs="宋体"/>
          <w:b/>
          <w:bCs/>
          <w:sz w:val="20"/>
          <w:szCs w:val="21"/>
        </w:rPr>
      </w:pPr>
      <w:r>
        <w:rPr>
          <w:rFonts w:hint="eastAsia" w:ascii="宋体" w:hAnsi="宋体" w:cs="宋体"/>
          <w:b/>
          <w:bCs/>
          <w:szCs w:val="21"/>
        </w:rPr>
        <w:t>5.联合体竞标（本项目不接受联合体竞标）</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5.1本项目是否接受联合体竞标，详见“供应商须知前附表”。</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5.2联合体竞标要求:</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（1）两个以上供应商可以组成一个竞标联合体，以一个供应商的身份共同参加竞标。联合体竞标的，须提供《联合体竞标协议书》（格式后附）。</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以联合体形式参加竞标的，联合体各方均应当具备采购公告的基本条件（涉及行政许可范围的内容，联合体各方均应具备相应资质）。本项目有特殊要求规定供应商特定条件的，联合体各方中至少应当有一方符合竞争性磋商文件规定的特定条件。</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3）联合体各方之间应当签订联合竞标协议，协议书应当明确主体方（或牵头方）并明确约定联合体各方承担的工作和相应的责任（各方承担责任与义务的分工应当符合采购需求，否则，联合体竞标无效），并将联合竞标协议放入响应文件。联合体各方应当共同与采购人签订采购合同，就采购合同约定的事项对采购人承担连带责任。</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（4）以联合体形式参加采购活动的，联合体各方不得再单独参加或者与其他供应商另外组成联合体参加同一合同项下的采购活动。</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（5）联合体中有同类资质的供应商按照联合体分工承担相同工作的，应当按照资质等级较低的供应商确定资质等级。</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（6）联合体竞标业绩、履约能力计算，按照联合体其中较高的一方认定并计算（竞争性磋商文件另有规定的除外）。</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（7）供应商为联合体的，可以由联合体中的一方或者多方共同交纳磋商保证金，其交纳的保证金对联合体各方均具有约束力。</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（8）联合体各方均应按照竞争性磋商文件的规定提交资格证明文件。</w:t>
      </w:r>
    </w:p>
    <w:p>
      <w:pPr>
        <w:spacing w:line="380" w:lineRule="exact"/>
        <w:ind w:left="418" w:leftChars="199"/>
        <w:textAlignment w:val="baseline"/>
        <w:rPr>
          <w:rFonts w:ascii="宋体" w:hAnsi="宋体" w:cs="宋体"/>
          <w:sz w:val="20"/>
          <w:szCs w:val="21"/>
        </w:rPr>
      </w:pPr>
      <w:r>
        <w:rPr>
          <w:rFonts w:hint="eastAsia" w:ascii="宋体" w:hAnsi="宋体" w:cs="宋体"/>
          <w:szCs w:val="21"/>
        </w:rPr>
        <w:t xml:space="preserve">6.转包与分包             </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6.1</w:t>
      </w:r>
      <w:r>
        <w:rPr>
          <w:rFonts w:hint="eastAsia" w:ascii="宋体" w:hAnsi="宋体" w:cs="宋体"/>
          <w:b/>
          <w:bCs/>
          <w:szCs w:val="21"/>
        </w:rPr>
        <w:t>本项目不允许转包</w:t>
      </w:r>
      <w:r>
        <w:rPr>
          <w:rFonts w:hint="eastAsia" w:ascii="宋体" w:hAnsi="宋体" w:cs="宋体"/>
          <w:szCs w:val="21"/>
        </w:rPr>
        <w:t>。</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6.2本项目是否允许分包详见“供应商须知前附表”，</w:t>
      </w:r>
      <w:r>
        <w:rPr>
          <w:rFonts w:hint="eastAsia" w:ascii="宋体" w:hAnsi="宋体" w:cs="宋体"/>
          <w:b w:val="0"/>
          <w:bCs w:val="0"/>
          <w:szCs w:val="21"/>
        </w:rPr>
        <w:t>本项目不允许违法分包</w:t>
      </w:r>
      <w:r>
        <w:rPr>
          <w:rFonts w:hint="eastAsia" w:ascii="宋体" w:hAnsi="宋体" w:cs="宋体"/>
          <w:szCs w:val="21"/>
        </w:rPr>
        <w:t>。</w:t>
      </w:r>
    </w:p>
    <w:p>
      <w:pPr>
        <w:spacing w:line="380" w:lineRule="exact"/>
        <w:ind w:left="418" w:leftChars="199"/>
        <w:textAlignment w:val="baseline"/>
        <w:rPr>
          <w:rFonts w:ascii="宋体" w:hAnsi="宋体" w:cs="宋体"/>
          <w:sz w:val="20"/>
          <w:szCs w:val="21"/>
        </w:rPr>
      </w:pPr>
      <w:bookmarkStart w:id="19" w:name="_Toc254970532"/>
      <w:bookmarkStart w:id="20" w:name="_Toc254970673"/>
      <w:r>
        <w:rPr>
          <w:rFonts w:hint="eastAsia" w:ascii="宋体" w:hAnsi="宋体" w:cs="宋体"/>
          <w:szCs w:val="21"/>
        </w:rPr>
        <w:t>7.特别说明</w:t>
      </w:r>
      <w:bookmarkEnd w:id="19"/>
      <w:bookmarkEnd w:id="20"/>
    </w:p>
    <w:p>
      <w:pPr>
        <w:spacing w:line="380" w:lineRule="exact"/>
        <w:ind w:firstLine="420" w:firstLineChars="200"/>
        <w:textAlignment w:val="baseline"/>
        <w:rPr>
          <w:rFonts w:ascii="宋体" w:hAnsi="宋体" w:cs="宋体"/>
          <w:sz w:val="20"/>
          <w:szCs w:val="21"/>
        </w:rPr>
      </w:pPr>
      <w:r>
        <w:fldChar w:fldCharType="begin"/>
      </w:r>
      <w:r>
        <w:instrText xml:space="preserve"> HYPERLINK \l "_8.1" </w:instrText>
      </w:r>
      <w:r>
        <w:fldChar w:fldCharType="separate"/>
      </w:r>
      <w:r>
        <w:rPr>
          <w:rFonts w:hint="eastAsia" w:ascii="宋体" w:hAnsi="宋体" w:cs="宋体"/>
          <w:szCs w:val="21"/>
        </w:rPr>
        <w:t>7.1</w:t>
      </w:r>
      <w:r>
        <w:rPr>
          <w:rFonts w:hint="eastAsia" w:ascii="宋体" w:hAnsi="宋体" w:cs="宋体"/>
          <w:szCs w:val="21"/>
        </w:rPr>
        <w:fldChar w:fldCharType="end"/>
      </w:r>
      <w:r>
        <w:rPr>
          <w:rFonts w:hint="eastAsia" w:ascii="宋体" w:hAnsi="宋体" w:cs="宋体"/>
          <w:szCs w:val="21"/>
        </w:rPr>
        <w:t>使用综合评分法的采购项目，提供相同品牌产品且通过资格审查、符合性审查的不同供应商参加同一合同项下竞标的，按一家供应商计算，评审后得分最高的同品牌供应商获得成交供应商推荐资格；评审得分相同的，由采购人或者采购人委托磋商小组按照竞争性磋商文件规定的方式确定一个供应商获得成交供应商推荐资格，竞争性磋商文件未规定的采取随机抽取方式确定，其他同品牌供应商不作为成交候选人。</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非单一产品采购项目，多家供应商提供的核心产品品牌相同的，按前款规定处理。</w:t>
      </w:r>
    </w:p>
    <w:p>
      <w:pPr>
        <w:spacing w:line="380" w:lineRule="exact"/>
        <w:ind w:firstLine="420" w:firstLineChars="200"/>
        <w:textAlignment w:val="baseline"/>
        <w:rPr>
          <w:rFonts w:ascii="宋体" w:hAnsi="宋体" w:cs="宋体"/>
          <w:sz w:val="20"/>
          <w:szCs w:val="21"/>
        </w:rPr>
      </w:pPr>
      <w:r>
        <w:rPr>
          <w:rFonts w:ascii="宋体" w:hAnsi="宋体" w:cs="宋体"/>
          <w:szCs w:val="21"/>
        </w:rPr>
        <w:t>7.2</w:t>
      </w:r>
      <w:r>
        <w:rPr>
          <w:rFonts w:hint="eastAsia" w:ascii="宋体" w:hAnsi="宋体" w:cs="宋体"/>
          <w:szCs w:val="21"/>
        </w:rPr>
        <w:t>服务类项目不设置核心产品，不执行本须知正文第7</w:t>
      </w:r>
      <w:r>
        <w:rPr>
          <w:rFonts w:ascii="宋体" w:hAnsi="宋体" w:cs="宋体"/>
          <w:szCs w:val="21"/>
        </w:rPr>
        <w:t>.1</w:t>
      </w:r>
      <w:r>
        <w:rPr>
          <w:rFonts w:hint="eastAsia" w:ascii="宋体" w:hAnsi="宋体" w:cs="宋体"/>
          <w:szCs w:val="21"/>
        </w:rPr>
        <w:t>条的规定。</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7.</w:t>
      </w:r>
      <w:r>
        <w:rPr>
          <w:rFonts w:ascii="宋体" w:hAnsi="宋体" w:cs="宋体"/>
          <w:szCs w:val="21"/>
        </w:rPr>
        <w:t>3</w:t>
      </w:r>
      <w:r>
        <w:rPr>
          <w:rFonts w:hint="eastAsia" w:ascii="宋体" w:hAnsi="宋体" w:cs="宋体"/>
          <w:szCs w:val="21"/>
        </w:rPr>
        <w:t>供应商竞标所使用的资格、信誉、荣誉、业绩与企业认证必须为该供应商所拥有。</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7.</w:t>
      </w:r>
      <w:r>
        <w:rPr>
          <w:rFonts w:ascii="宋体" w:hAnsi="宋体" w:cs="宋体"/>
          <w:szCs w:val="21"/>
        </w:rPr>
        <w:t>4</w:t>
      </w:r>
      <w:r>
        <w:rPr>
          <w:rFonts w:hint="eastAsia" w:ascii="宋体" w:hAnsi="宋体" w:cs="宋体"/>
          <w:szCs w:val="21"/>
        </w:rPr>
        <w:t>供应商应仔细阅读竞争性磋商文件的所有内容，按照竞争性磋商文件的要求提交响应文件，并对所提供的全部资料的真实性承担法律责任。</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7.</w:t>
      </w:r>
      <w:r>
        <w:rPr>
          <w:rFonts w:ascii="宋体" w:hAnsi="宋体" w:cs="宋体"/>
          <w:szCs w:val="21"/>
        </w:rPr>
        <w:t>5</w:t>
      </w:r>
      <w:r>
        <w:rPr>
          <w:rFonts w:hint="eastAsia" w:ascii="宋体" w:hAnsi="宋体" w:cs="宋体"/>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7.</w:t>
      </w:r>
      <w:r>
        <w:rPr>
          <w:rFonts w:ascii="宋体" w:hAnsi="宋体" w:cs="宋体"/>
          <w:szCs w:val="21"/>
        </w:rPr>
        <w:t>6</w:t>
      </w:r>
      <w:r>
        <w:rPr>
          <w:rFonts w:hint="eastAsia" w:ascii="宋体" w:hAnsi="宋体" w:cs="宋体"/>
          <w:szCs w:val="21"/>
        </w:rPr>
        <w:t>有下列情形之一的视为供应商相互串通竞标，响应文件将被视为无效：</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（1）不同供应商的响应文件由同一单位或者个人编制；或不同供应商报名的IP地址一致的；</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（2）不同供应商委托同一单位或者个人办理竞标事宜；</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（3）不同的供应商的响应文件载明的项目管理员为同一个人；</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（4）不同供应商的响应文件异常一致或报价呈规律性差异；</w:t>
      </w:r>
    </w:p>
    <w:p>
      <w:pPr>
        <w:tabs>
          <w:tab w:val="left" w:pos="6931"/>
        </w:tabs>
        <w:spacing w:line="380" w:lineRule="exact"/>
        <w:ind w:firstLine="420" w:firstLineChars="200"/>
        <w:textAlignment w:val="baseline"/>
        <w:rPr>
          <w:rFonts w:ascii="宋体" w:hAnsi="宋体" w:cs="宋体"/>
          <w:sz w:val="20"/>
          <w:szCs w:val="21"/>
        </w:rPr>
      </w:pPr>
      <w:r>
        <w:rPr>
          <w:rFonts w:hint="eastAsia" w:ascii="宋体" w:hAnsi="宋体" w:cs="宋体"/>
          <w:szCs w:val="21"/>
        </w:rPr>
        <w:t>（5）不同供应商的响应文件相互混装。</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7.</w:t>
      </w:r>
      <w:r>
        <w:rPr>
          <w:rFonts w:ascii="宋体" w:hAnsi="宋体" w:cs="宋体"/>
          <w:szCs w:val="21"/>
        </w:rPr>
        <w:t>7</w:t>
      </w:r>
      <w:r>
        <w:rPr>
          <w:rFonts w:hint="eastAsia" w:ascii="宋体" w:hAnsi="宋体" w:cs="宋体"/>
          <w:szCs w:val="21"/>
        </w:rPr>
        <w:t>供应商有下列情形之一的，属于恶意串通行为：</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（1）供应商直接或者间接从采购人处获得其他供应商的相关信息并修改其响应文件；</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（2）供应商按照采购人的授意撤换、修改响应文件；</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（3）供应商之间协商报价、技术方案等响应文件或者响应文件的实质性内容；</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（4）属于同一集团、协会、商会等组织成员的供应商按照该组织要求协同参加采购活动；</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（5）供应商之间事先约定一致抬高或者压低报价，或者在采购活动中事先约定轮流以高价位或者低价位成交，或者事先约定由某一特定供应商成交，然后再参加竞标；</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（6）供应商之间商定部分供应商放弃参加采购活动或者放弃成交；</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7.</w:t>
      </w:r>
      <w:r>
        <w:rPr>
          <w:rFonts w:ascii="宋体" w:hAnsi="宋体" w:cs="宋体"/>
          <w:szCs w:val="21"/>
        </w:rPr>
        <w:t>8</w:t>
      </w:r>
      <w:r>
        <w:rPr>
          <w:rFonts w:hint="eastAsia" w:ascii="宋体" w:hAnsi="宋体" w:cs="宋体"/>
          <w:szCs w:val="21"/>
        </w:rPr>
        <w:t>关联供应商不得参加同一合同项下采购活动，否则响应文件将被视为无效：</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（1）单位负责人为同一人或者存在直接控股、管理关系的不同的供应商，不得参加同一合同项下的采购活动；</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（2）生产厂商授权给供应商后自己不得参加同一合同项下的采购活动；生产厂商对同一品牌同一型号的货物，仅能委托一个代理商参加竞标。</w:t>
      </w:r>
    </w:p>
    <w:p>
      <w:pPr>
        <w:spacing w:line="380" w:lineRule="exact"/>
        <w:ind w:left="1" w:firstLine="398" w:firstLineChars="199"/>
        <w:jc w:val="center"/>
        <w:textAlignment w:val="baseline"/>
        <w:rPr>
          <w:rFonts w:ascii="宋体" w:hAnsi="宋体"/>
          <w:sz w:val="20"/>
          <w:szCs w:val="24"/>
        </w:rPr>
      </w:pPr>
      <w:bookmarkStart w:id="21" w:name="_Toc254970675"/>
      <w:bookmarkStart w:id="22" w:name="_Toc254970534"/>
    </w:p>
    <w:p>
      <w:pPr>
        <w:spacing w:line="380" w:lineRule="exact"/>
        <w:jc w:val="center"/>
        <w:textAlignment w:val="baseline"/>
        <w:rPr>
          <w:rFonts w:ascii="宋体" w:hAnsi="宋体"/>
          <w:b/>
          <w:bCs/>
          <w:sz w:val="32"/>
          <w:szCs w:val="32"/>
        </w:rPr>
      </w:pPr>
    </w:p>
    <w:p>
      <w:pPr>
        <w:spacing w:line="380" w:lineRule="exact"/>
        <w:jc w:val="center"/>
        <w:textAlignment w:val="baseline"/>
        <w:rPr>
          <w:rFonts w:ascii="宋体" w:hAnsi="宋体"/>
          <w:b/>
          <w:bCs/>
          <w:sz w:val="32"/>
          <w:szCs w:val="32"/>
        </w:rPr>
      </w:pPr>
      <w:r>
        <w:rPr>
          <w:rFonts w:hint="eastAsia" w:ascii="宋体" w:hAnsi="宋体"/>
          <w:b/>
          <w:bCs/>
          <w:sz w:val="32"/>
          <w:szCs w:val="32"/>
        </w:rPr>
        <w:t>二、竞争性磋商文件</w:t>
      </w:r>
      <w:bookmarkEnd w:id="21"/>
      <w:bookmarkEnd w:id="22"/>
    </w:p>
    <w:p>
      <w:pPr>
        <w:spacing w:line="380" w:lineRule="exact"/>
        <w:jc w:val="center"/>
        <w:textAlignment w:val="baseline"/>
        <w:rPr>
          <w:rFonts w:ascii="宋体" w:hAnsi="宋体"/>
          <w:sz w:val="20"/>
          <w:szCs w:val="21"/>
        </w:rPr>
      </w:pPr>
    </w:p>
    <w:p>
      <w:pPr>
        <w:spacing w:line="380" w:lineRule="exact"/>
        <w:ind w:firstLine="420" w:firstLineChars="200"/>
        <w:jc w:val="left"/>
        <w:textAlignment w:val="baseline"/>
        <w:rPr>
          <w:rFonts w:ascii="宋体" w:hAnsi="宋体"/>
          <w:sz w:val="20"/>
          <w:szCs w:val="21"/>
        </w:rPr>
      </w:pPr>
      <w:r>
        <w:rPr>
          <w:rFonts w:hint="eastAsia" w:ascii="宋体" w:hAnsi="宋体"/>
          <w:szCs w:val="21"/>
        </w:rPr>
        <w:t>8.竞争性磋商文件的构成</w:t>
      </w:r>
    </w:p>
    <w:p>
      <w:pPr>
        <w:spacing w:line="380" w:lineRule="exact"/>
        <w:ind w:firstLine="420" w:firstLineChars="200"/>
        <w:jc w:val="left"/>
        <w:textAlignment w:val="baseline"/>
        <w:rPr>
          <w:rFonts w:ascii="宋体" w:hAnsi="宋体"/>
          <w:sz w:val="20"/>
          <w:szCs w:val="21"/>
        </w:rPr>
      </w:pPr>
      <w:r>
        <w:rPr>
          <w:rFonts w:hint="eastAsia" w:ascii="宋体" w:hAnsi="宋体"/>
          <w:szCs w:val="21"/>
        </w:rPr>
        <w:t>（1）竞争性磋商公告（邀请函）；</w:t>
      </w:r>
    </w:p>
    <w:p>
      <w:pPr>
        <w:spacing w:line="380" w:lineRule="exact"/>
        <w:ind w:firstLine="420" w:firstLineChars="200"/>
        <w:jc w:val="left"/>
        <w:textAlignment w:val="baseline"/>
        <w:rPr>
          <w:rFonts w:ascii="宋体" w:hAnsi="宋体"/>
          <w:sz w:val="20"/>
          <w:szCs w:val="21"/>
        </w:rPr>
      </w:pPr>
      <w:r>
        <w:rPr>
          <w:rFonts w:hint="eastAsia" w:ascii="宋体" w:hAnsi="宋体"/>
          <w:szCs w:val="21"/>
        </w:rPr>
        <w:t xml:space="preserve">（2）供应商须知； </w:t>
      </w:r>
    </w:p>
    <w:p>
      <w:pPr>
        <w:spacing w:line="380" w:lineRule="exact"/>
        <w:ind w:firstLine="420" w:firstLineChars="200"/>
        <w:jc w:val="left"/>
        <w:textAlignment w:val="baseline"/>
        <w:rPr>
          <w:rFonts w:ascii="宋体" w:hAnsi="宋体"/>
          <w:sz w:val="20"/>
          <w:szCs w:val="21"/>
        </w:rPr>
      </w:pPr>
      <w:r>
        <w:rPr>
          <w:rFonts w:hint="eastAsia" w:ascii="宋体" w:hAnsi="宋体"/>
          <w:szCs w:val="21"/>
        </w:rPr>
        <w:t>（3）采购需求；</w:t>
      </w:r>
    </w:p>
    <w:p>
      <w:pPr>
        <w:spacing w:line="380" w:lineRule="exact"/>
        <w:ind w:firstLine="420" w:firstLineChars="200"/>
        <w:jc w:val="left"/>
        <w:textAlignment w:val="baseline"/>
        <w:rPr>
          <w:rFonts w:ascii="宋体" w:hAnsi="宋体"/>
          <w:sz w:val="20"/>
          <w:szCs w:val="21"/>
        </w:rPr>
      </w:pPr>
      <w:r>
        <w:rPr>
          <w:rFonts w:hint="eastAsia" w:ascii="宋体" w:hAnsi="宋体"/>
          <w:szCs w:val="21"/>
        </w:rPr>
        <w:t>（4）评审程序、评审方法和评审标准；</w:t>
      </w:r>
    </w:p>
    <w:p>
      <w:pPr>
        <w:spacing w:line="380" w:lineRule="exact"/>
        <w:ind w:firstLine="420" w:firstLineChars="200"/>
        <w:jc w:val="left"/>
        <w:textAlignment w:val="baseline"/>
        <w:rPr>
          <w:rFonts w:ascii="宋体" w:hAnsi="宋体"/>
          <w:sz w:val="20"/>
          <w:szCs w:val="21"/>
        </w:rPr>
      </w:pPr>
      <w:r>
        <w:rPr>
          <w:rFonts w:hint="eastAsia" w:ascii="宋体" w:hAnsi="宋体"/>
          <w:szCs w:val="21"/>
        </w:rPr>
        <w:t>（5）响应文件格式；</w:t>
      </w:r>
    </w:p>
    <w:p>
      <w:pPr>
        <w:spacing w:line="380" w:lineRule="exact"/>
        <w:ind w:firstLine="420" w:firstLineChars="200"/>
        <w:jc w:val="left"/>
        <w:textAlignment w:val="baseline"/>
        <w:rPr>
          <w:rFonts w:ascii="宋体" w:hAnsi="宋体"/>
          <w:sz w:val="20"/>
          <w:szCs w:val="21"/>
        </w:rPr>
      </w:pPr>
      <w:r>
        <w:rPr>
          <w:rFonts w:hint="eastAsia" w:ascii="宋体" w:hAnsi="宋体"/>
          <w:szCs w:val="21"/>
        </w:rPr>
        <w:t>（6）合同文本。</w:t>
      </w:r>
    </w:p>
    <w:p>
      <w:pPr>
        <w:spacing w:line="380" w:lineRule="exact"/>
        <w:ind w:firstLine="420" w:firstLineChars="200"/>
        <w:jc w:val="left"/>
        <w:textAlignment w:val="baseline"/>
        <w:rPr>
          <w:rFonts w:ascii="宋体" w:hAnsi="宋体"/>
          <w:sz w:val="20"/>
          <w:szCs w:val="21"/>
        </w:rPr>
      </w:pPr>
      <w:r>
        <w:rPr>
          <w:rFonts w:hint="eastAsia" w:ascii="宋体" w:hAnsi="宋体"/>
          <w:szCs w:val="21"/>
        </w:rPr>
        <w:t>9.供应商的询问</w:t>
      </w:r>
    </w:p>
    <w:p>
      <w:pPr>
        <w:spacing w:line="380" w:lineRule="exact"/>
        <w:ind w:firstLine="420" w:firstLineChars="200"/>
        <w:textAlignment w:val="baseline"/>
        <w:rPr>
          <w:rFonts w:ascii="宋体" w:hAnsi="宋体"/>
          <w:sz w:val="20"/>
          <w:szCs w:val="21"/>
        </w:rPr>
      </w:pPr>
      <w:r>
        <w:rPr>
          <w:rFonts w:hint="eastAsia" w:ascii="宋体" w:hAnsi="宋体"/>
          <w:szCs w:val="21"/>
        </w:rPr>
        <w:t>供应商应认真阅读竞争性磋商文件的采购需求，如供应商对竞争性磋商文件有疑问的，如要求采购人作出澄清或修改的，供应商尽可能在</w:t>
      </w:r>
      <w:r>
        <w:rPr>
          <w:rFonts w:ascii="宋体" w:hAnsi="宋体"/>
          <w:szCs w:val="21"/>
        </w:rPr>
        <w:t>提交首次响应文件截止之日前</w:t>
      </w:r>
      <w:r>
        <w:rPr>
          <w:rFonts w:hint="eastAsia" w:ascii="宋体" w:hAnsi="宋体"/>
          <w:szCs w:val="21"/>
        </w:rPr>
        <w:t>，以书面形式向</w:t>
      </w:r>
      <w:r>
        <w:rPr>
          <w:rFonts w:ascii="宋体" w:hAnsi="宋体"/>
          <w:szCs w:val="21"/>
        </w:rPr>
        <w:t>采购人</w:t>
      </w:r>
      <w:r>
        <w:rPr>
          <w:rFonts w:hint="eastAsia" w:ascii="宋体" w:hAnsi="宋体"/>
          <w:szCs w:val="21"/>
        </w:rPr>
        <w:t>提出。</w:t>
      </w:r>
    </w:p>
    <w:p>
      <w:pPr>
        <w:spacing w:line="380" w:lineRule="exact"/>
        <w:ind w:firstLine="420" w:firstLineChars="200"/>
        <w:jc w:val="left"/>
        <w:textAlignment w:val="baseline"/>
        <w:rPr>
          <w:rFonts w:ascii="宋体" w:hAnsi="宋体"/>
          <w:sz w:val="20"/>
          <w:szCs w:val="21"/>
        </w:rPr>
      </w:pPr>
      <w:r>
        <w:rPr>
          <w:rFonts w:hint="eastAsia" w:ascii="宋体" w:hAnsi="宋体"/>
          <w:szCs w:val="21"/>
        </w:rPr>
        <w:t>10.竞争性磋商文件的澄清和修改</w:t>
      </w:r>
    </w:p>
    <w:p>
      <w:pPr>
        <w:spacing w:line="380" w:lineRule="exact"/>
        <w:ind w:firstLine="420" w:firstLineChars="200"/>
        <w:textAlignment w:val="baseline"/>
        <w:rPr>
          <w:rFonts w:ascii="宋体" w:hAnsi="宋体"/>
          <w:sz w:val="20"/>
          <w:szCs w:val="21"/>
        </w:rPr>
      </w:pPr>
      <w:r>
        <w:rPr>
          <w:rFonts w:ascii="宋体" w:hAnsi="宋体"/>
          <w:szCs w:val="21"/>
        </w:rPr>
        <w:t>提交首次响应文件截止之日前，采购人或者磋商小组可以对已发出的磋商文件进行必要的澄清或者修改，澄清或者修改的内容作为磋商文件的组成部分。澄清或者修改的内容可能影响响应文件编制的，采购人或者磋商小组在提交首次响应文件截止之日3个工作日前，以书面形式通知所有</w:t>
      </w:r>
      <w:r>
        <w:rPr>
          <w:rFonts w:hint="eastAsia" w:ascii="宋体" w:hAnsi="宋体"/>
          <w:szCs w:val="21"/>
        </w:rPr>
        <w:t>获取</w:t>
      </w:r>
      <w:r>
        <w:rPr>
          <w:rFonts w:ascii="宋体" w:hAnsi="宋体"/>
          <w:szCs w:val="21"/>
        </w:rPr>
        <w:t>磋商文件的供应商，不足3个工作日的，应当顺延提交首次响应文件截止之日。</w:t>
      </w:r>
    </w:p>
    <w:p>
      <w:pPr>
        <w:spacing w:line="380" w:lineRule="exact"/>
        <w:textAlignment w:val="baseline"/>
        <w:rPr>
          <w:rFonts w:ascii="宋体" w:hAnsi="宋体"/>
          <w:sz w:val="20"/>
          <w:szCs w:val="21"/>
        </w:rPr>
      </w:pPr>
    </w:p>
    <w:p>
      <w:pPr>
        <w:spacing w:line="380" w:lineRule="exact"/>
        <w:jc w:val="center"/>
        <w:textAlignment w:val="baseline"/>
        <w:rPr>
          <w:rFonts w:ascii="宋体" w:hAnsi="宋体"/>
          <w:b/>
          <w:bCs/>
          <w:sz w:val="20"/>
          <w:szCs w:val="21"/>
        </w:rPr>
      </w:pPr>
      <w:r>
        <w:rPr>
          <w:rFonts w:hint="eastAsia" w:ascii="宋体" w:hAnsi="宋体"/>
          <w:b/>
          <w:bCs/>
          <w:sz w:val="32"/>
          <w:szCs w:val="32"/>
        </w:rPr>
        <w:t>三、响应文件的编制</w:t>
      </w:r>
    </w:p>
    <w:p>
      <w:pPr>
        <w:spacing w:line="380" w:lineRule="exact"/>
        <w:textAlignment w:val="baseline"/>
        <w:rPr>
          <w:rFonts w:ascii="宋体" w:hAnsi="宋体"/>
          <w:sz w:val="20"/>
          <w:szCs w:val="21"/>
        </w:rPr>
      </w:pPr>
    </w:p>
    <w:p>
      <w:pPr>
        <w:spacing w:line="380" w:lineRule="exact"/>
        <w:ind w:firstLine="420" w:firstLineChars="200"/>
        <w:textAlignment w:val="baseline"/>
        <w:rPr>
          <w:rFonts w:ascii="宋体" w:hAnsi="宋体" w:cs="宋体"/>
          <w:sz w:val="20"/>
          <w:szCs w:val="24"/>
        </w:rPr>
      </w:pPr>
      <w:r>
        <w:rPr>
          <w:rFonts w:hint="eastAsia" w:ascii="宋体" w:hAnsi="宋体" w:cs="宋体"/>
          <w:szCs w:val="21"/>
        </w:rPr>
        <w:t>11.</w:t>
      </w:r>
      <w:r>
        <w:rPr>
          <w:rFonts w:hint="eastAsia" w:ascii="宋体" w:hAnsi="宋体" w:cs="宋体"/>
          <w:szCs w:val="24"/>
        </w:rPr>
        <w:t>响应文件的编制原则</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供应商应当按照竞争性磋商文件的要求编制响应文件，并对其提交的响应文件的真实性、合法性承担法律责任。响应文件应当对竞争性磋商文件作出实质性响应。</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12.响应文件的组成</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12.1响应文件由资格证明文件、报价商务技术文件两部分组成。</w:t>
      </w:r>
    </w:p>
    <w:p>
      <w:pPr>
        <w:spacing w:line="380" w:lineRule="exact"/>
        <w:ind w:left="840" w:leftChars="200" w:hanging="420" w:hangingChars="200"/>
        <w:textAlignment w:val="baseline"/>
        <w:rPr>
          <w:rFonts w:ascii="宋体" w:hAnsi="宋体" w:cs="宋体"/>
          <w:sz w:val="20"/>
          <w:szCs w:val="21"/>
        </w:rPr>
      </w:pPr>
      <w:r>
        <w:rPr>
          <w:rFonts w:hint="eastAsia" w:ascii="宋体" w:hAnsi="宋体" w:cs="宋体"/>
          <w:szCs w:val="21"/>
        </w:rPr>
        <w:t>1</w:t>
      </w:r>
      <w:r>
        <w:rPr>
          <w:rFonts w:ascii="宋体" w:hAnsi="宋体" w:cs="宋体"/>
          <w:szCs w:val="21"/>
        </w:rPr>
        <w:t>2.1.1</w:t>
      </w:r>
      <w:r>
        <w:rPr>
          <w:rFonts w:hint="eastAsia" w:ascii="宋体" w:hAnsi="宋体" w:cs="宋体"/>
          <w:szCs w:val="21"/>
        </w:rPr>
        <w:t>资格证明文件：详见须知前附表</w:t>
      </w:r>
    </w:p>
    <w:p>
      <w:pPr>
        <w:spacing w:line="380" w:lineRule="exact"/>
        <w:ind w:left="840" w:leftChars="200" w:hanging="420" w:hangingChars="200"/>
        <w:textAlignment w:val="baseline"/>
        <w:rPr>
          <w:rFonts w:ascii="宋体" w:hAnsi="宋体" w:cs="宋体"/>
          <w:sz w:val="20"/>
          <w:szCs w:val="21"/>
        </w:rPr>
      </w:pPr>
      <w:r>
        <w:rPr>
          <w:rFonts w:hint="eastAsia" w:ascii="宋体" w:hAnsi="宋体" w:cs="宋体"/>
          <w:szCs w:val="21"/>
        </w:rPr>
        <w:t>1</w:t>
      </w:r>
      <w:r>
        <w:rPr>
          <w:rFonts w:ascii="宋体" w:hAnsi="宋体" w:cs="宋体"/>
          <w:szCs w:val="21"/>
        </w:rPr>
        <w:t>2.1.2</w:t>
      </w:r>
      <w:r>
        <w:rPr>
          <w:rFonts w:hint="eastAsia" w:ascii="宋体" w:hAnsi="宋体" w:cs="宋体"/>
          <w:szCs w:val="21"/>
        </w:rPr>
        <w:t>报价商务技术文件：详见须知前附表</w:t>
      </w:r>
    </w:p>
    <w:p>
      <w:pPr>
        <w:spacing w:line="380" w:lineRule="exact"/>
        <w:ind w:left="840" w:leftChars="200" w:hanging="420" w:hangingChars="200"/>
        <w:textAlignment w:val="baseline"/>
        <w:rPr>
          <w:rFonts w:ascii="宋体" w:hAnsi="宋体" w:cs="宋体"/>
          <w:sz w:val="20"/>
          <w:szCs w:val="21"/>
        </w:rPr>
      </w:pPr>
      <w:r>
        <w:rPr>
          <w:rFonts w:hint="eastAsia" w:ascii="宋体" w:hAnsi="宋体" w:cs="宋体"/>
          <w:szCs w:val="21"/>
        </w:rPr>
        <w:t>12.</w:t>
      </w:r>
      <w:r>
        <w:rPr>
          <w:rFonts w:ascii="宋体" w:hAnsi="宋体" w:cs="宋体"/>
          <w:szCs w:val="21"/>
        </w:rPr>
        <w:t>2</w:t>
      </w:r>
      <w:r>
        <w:rPr>
          <w:rFonts w:hint="eastAsia" w:ascii="宋体" w:hAnsi="宋体" w:cs="宋体"/>
          <w:szCs w:val="21"/>
        </w:rPr>
        <w:t>响应文件电子版：详见须知前附表</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13.计量单位</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竞争性磋商文件已有明确规定的，使用竞争性磋商文件规定的计量单位；竞争性磋商文件没有规定的，应采用中华人民共和国法定计量单位，货币种类为人民币，否则视同未响应。</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14.竞标的风险</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供应商没有按照竞争性磋商文件要求提供全部资料，或者供应商没有对竞争性磋商文件在各方面作出实质性响应可能导致其响应无效，是供应商应当考虑的风险。</w:t>
      </w:r>
    </w:p>
    <w:p>
      <w:pPr>
        <w:spacing w:line="380" w:lineRule="exact"/>
        <w:ind w:left="420" w:leftChars="200"/>
        <w:textAlignment w:val="baseline"/>
        <w:rPr>
          <w:rFonts w:ascii="宋体" w:hAnsi="宋体" w:cs="宋体"/>
          <w:sz w:val="20"/>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.竞标有效期</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.1竞标有效期是指为保证采购人有足够的时间在提交响应文件后完成评审、确定成交供应商、合同签订等工作而要求供应商提交的响应文件在一定时间内保持有效的期限。</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.2 竞标有效期应由供应商按“供应商须知前附表”规定的期限作出响应。</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.3供应商的响应文件在竞标有效期内均保持有效。</w:t>
      </w:r>
    </w:p>
    <w:p>
      <w:pPr>
        <w:spacing w:line="380" w:lineRule="exact"/>
        <w:ind w:left="420" w:leftChars="200"/>
        <w:textAlignment w:val="baseline"/>
        <w:rPr>
          <w:rFonts w:ascii="宋体" w:hAnsi="宋体" w:cs="宋体"/>
          <w:sz w:val="20"/>
          <w:szCs w:val="21"/>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.磋商保证金</w:t>
      </w:r>
    </w:p>
    <w:p>
      <w:pPr>
        <w:spacing w:line="380" w:lineRule="exact"/>
        <w:ind w:left="420" w:leftChars="200"/>
        <w:textAlignment w:val="baseline"/>
        <w:rPr>
          <w:rFonts w:ascii="宋体" w:hAnsi="宋体" w:cs="宋体"/>
          <w:sz w:val="20"/>
          <w:szCs w:val="21"/>
        </w:rPr>
      </w:pPr>
      <w:r>
        <w:rPr>
          <w:rFonts w:hint="eastAsia" w:ascii="宋体" w:hAnsi="宋体" w:cs="宋体"/>
          <w:szCs w:val="21"/>
          <w:lang w:val="en-US" w:eastAsia="zh-CN"/>
        </w:rPr>
        <w:t>无</w:t>
      </w:r>
      <w:r>
        <w:rPr>
          <w:rFonts w:hint="eastAsia" w:ascii="宋体" w:hAnsi="宋体" w:cs="宋体"/>
          <w:szCs w:val="21"/>
        </w:rPr>
        <w:t>。</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.响应文件编制的要求</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.1供应商应按本竞争性磋商文件规定的格式和顺序编制、装订响应文件并标注页码，响应文件内容</w:t>
      </w:r>
      <w:r>
        <w:rPr>
          <w:rFonts w:hint="eastAsia" w:ascii="宋体" w:hAnsi="宋体" w:cs="宋体"/>
          <w:spacing w:val="-6"/>
          <w:szCs w:val="21"/>
        </w:rPr>
        <w:t>不完整、编排混乱导致响应文件被误读、漏读或者查找不到相关内容的，</w:t>
      </w:r>
      <w:r>
        <w:rPr>
          <w:rFonts w:hint="eastAsia" w:ascii="Times New Roman" w:hAnsi="Times New Roman"/>
          <w:szCs w:val="24"/>
        </w:rPr>
        <w:t>由此引发的</w:t>
      </w:r>
      <w:r>
        <w:rPr>
          <w:rFonts w:hint="eastAsia" w:ascii="宋体" w:hAnsi="宋体" w:cs="宋体"/>
          <w:spacing w:val="-6"/>
          <w:szCs w:val="21"/>
        </w:rPr>
        <w:t>后果由供应商承担。</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2响应文件应按资格证明文件、报价商务技术文件分别编制，资格证明文件、报价商务技术文件按顺序装订成册。响应文件正本一份，副本份数详见“供应商须知前附表”，响应文件的封面应注明“正本”、“副本”字样，提供响应文件正、副本数量不足的将按无效响应处理。由于响应文件装订松散而造成的丢失或其他情况导致的不利后果由供应商自行承担。</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.3响应文件的正本应打印或用不褪色的墨水填写，响应文件正本除本“供应商须知”中规定的可提供复印件外均须提供原件，副本可为正本签字、盖章后的复印件，当副本和正本不一致时，以正本为准。</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.4响应文件须由供应商在规定位置盖公章并由法定代表人或委托代理人签字，否则其响应文件按无效响应处理。</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.5响应文件中标注的供应商名称应与营业执照（事业单位法人证书、执业许可证、自然人身份证）及公章一致，否则其响应文件按无效响应处理。</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6响应文件应尽量避免涂改、行间插字或删除。如果出现上述情况，改动之处应由供应商的法定代表人或其委托代理人签字或加盖公章。响应文件因涂改、行间插字或删除导致字迹潦草或表达不清所引起的后果由供应商承担。</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w:t>
      </w:r>
      <w:r>
        <w:rPr>
          <w:rFonts w:hint="eastAsia" w:ascii="宋体" w:hAnsi="宋体" w:cs="宋体"/>
          <w:szCs w:val="21"/>
          <w:lang w:val="en-US" w:eastAsia="zh-CN"/>
        </w:rPr>
        <w:t>8</w:t>
      </w:r>
      <w:r>
        <w:rPr>
          <w:rFonts w:hint="eastAsia" w:ascii="宋体" w:hAnsi="宋体" w:cs="宋体"/>
          <w:szCs w:val="21"/>
        </w:rPr>
        <w:t>.响应文件的密封和标记</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w:t>
      </w:r>
      <w:r>
        <w:rPr>
          <w:rFonts w:hint="eastAsia" w:ascii="宋体" w:hAnsi="宋体" w:cs="宋体"/>
          <w:szCs w:val="21"/>
          <w:lang w:val="en-US" w:eastAsia="zh-CN"/>
        </w:rPr>
        <w:t>8</w:t>
      </w:r>
      <w:r>
        <w:rPr>
          <w:rFonts w:hint="eastAsia" w:ascii="宋体" w:hAnsi="宋体" w:cs="宋体"/>
          <w:szCs w:val="21"/>
        </w:rPr>
        <w:t>.1响应文件正、副本全部装入一个或多个包封袋/箱（响应文件的补充、修改可另行单独递交）中并加以密封，封口处必须加盖供应商公章或</w:t>
      </w:r>
      <w:r>
        <w:rPr>
          <w:rFonts w:hint="eastAsia" w:ascii="宋体" w:hAnsi="宋体" w:cs="宋体"/>
          <w:szCs w:val="24"/>
        </w:rPr>
        <w:t>法定代表人签字</w:t>
      </w:r>
      <w:r>
        <w:rPr>
          <w:rFonts w:hint="eastAsia" w:ascii="宋体" w:hAnsi="宋体" w:cs="宋体"/>
          <w:szCs w:val="21"/>
        </w:rPr>
        <w:t>或委托代理人签字，以示密封。</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w:t>
      </w:r>
      <w:r>
        <w:rPr>
          <w:rFonts w:hint="eastAsia" w:ascii="宋体" w:hAnsi="宋体" w:cs="宋体"/>
          <w:szCs w:val="21"/>
          <w:lang w:val="en-US" w:eastAsia="zh-CN"/>
        </w:rPr>
        <w:t>8</w:t>
      </w:r>
      <w:r>
        <w:rPr>
          <w:rFonts w:hint="eastAsia" w:ascii="宋体" w:hAnsi="宋体" w:cs="宋体"/>
          <w:szCs w:val="21"/>
        </w:rPr>
        <w:t>.2响应文件外层包装封面上应标记“项目名称、供应商名称、所竞分标、首次响应文件提交截止时间前不得启封”字样。</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w:t>
      </w:r>
      <w:r>
        <w:rPr>
          <w:rFonts w:hint="eastAsia" w:ascii="宋体" w:hAnsi="宋体" w:cs="宋体"/>
          <w:szCs w:val="21"/>
          <w:lang w:val="en-US" w:eastAsia="zh-CN"/>
        </w:rPr>
        <w:t>8</w:t>
      </w:r>
      <w:r>
        <w:rPr>
          <w:rFonts w:hint="eastAsia" w:ascii="宋体" w:hAnsi="宋体" w:cs="宋体"/>
          <w:szCs w:val="21"/>
        </w:rPr>
        <w:t>.3未按上述规定密封的响应文件将被拒收。</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19</w:t>
      </w:r>
      <w:r>
        <w:rPr>
          <w:rFonts w:hint="eastAsia" w:ascii="宋体" w:hAnsi="宋体" w:cs="宋体"/>
          <w:szCs w:val="21"/>
        </w:rPr>
        <w:t>.响应文件的提交</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19</w:t>
      </w:r>
      <w:r>
        <w:rPr>
          <w:rFonts w:hint="eastAsia" w:ascii="宋体" w:hAnsi="宋体" w:cs="宋体"/>
          <w:szCs w:val="21"/>
        </w:rPr>
        <w:t>.1供应商必须在“供应商须知前附表”规定的时间和地点提交响应文件。</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19</w:t>
      </w:r>
      <w:r>
        <w:rPr>
          <w:rFonts w:hint="eastAsia" w:ascii="宋体" w:hAnsi="宋体" w:cs="宋体"/>
          <w:szCs w:val="21"/>
        </w:rPr>
        <w:t>.2采购</w:t>
      </w:r>
      <w:r>
        <w:rPr>
          <w:rFonts w:hint="eastAsia" w:ascii="宋体" w:hAnsi="宋体" w:cs="宋体"/>
          <w:szCs w:val="21"/>
          <w:lang w:val="en-US" w:eastAsia="zh-CN"/>
        </w:rPr>
        <w:t>人</w:t>
      </w:r>
      <w:r>
        <w:rPr>
          <w:rFonts w:hint="eastAsia" w:ascii="宋体" w:hAnsi="宋体" w:cs="宋体"/>
          <w:szCs w:val="21"/>
        </w:rPr>
        <w:t>工作人员收到响应文件后，应当如实记载响应文件的密封情况。</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19</w:t>
      </w:r>
      <w:r>
        <w:rPr>
          <w:rFonts w:hint="eastAsia" w:ascii="宋体" w:hAnsi="宋体" w:cs="宋体"/>
          <w:szCs w:val="21"/>
        </w:rPr>
        <w:t>.3在</w:t>
      </w:r>
      <w:r>
        <w:rPr>
          <w:rFonts w:hint="eastAsia" w:ascii="宋体" w:hAnsi="宋体"/>
          <w:szCs w:val="21"/>
        </w:rPr>
        <w:t>首次响应文件提交截止时间</w:t>
      </w:r>
      <w:r>
        <w:rPr>
          <w:rFonts w:hint="eastAsia" w:ascii="宋体" w:hAnsi="宋体" w:cs="宋体"/>
          <w:szCs w:val="21"/>
        </w:rPr>
        <w:t>后送达的或不符合本须知正文第1</w:t>
      </w:r>
      <w:r>
        <w:rPr>
          <w:rFonts w:ascii="宋体" w:hAnsi="宋体" w:cs="宋体"/>
          <w:szCs w:val="21"/>
        </w:rPr>
        <w:t>9.3</w:t>
      </w:r>
      <w:r>
        <w:rPr>
          <w:rFonts w:hint="eastAsia" w:ascii="宋体" w:hAnsi="宋体" w:cs="宋体"/>
          <w:szCs w:val="21"/>
        </w:rPr>
        <w:t>条的响应文件为无效文件，采购人应当拒收。</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w:t>
      </w:r>
      <w:r>
        <w:rPr>
          <w:rFonts w:hint="eastAsia" w:ascii="宋体" w:hAnsi="宋体" w:cs="宋体"/>
          <w:szCs w:val="21"/>
          <w:lang w:val="en-US" w:eastAsia="zh-CN"/>
        </w:rPr>
        <w:t>0</w:t>
      </w:r>
      <w:r>
        <w:rPr>
          <w:rFonts w:hint="eastAsia" w:ascii="宋体" w:hAnsi="宋体" w:cs="宋体"/>
          <w:szCs w:val="21"/>
        </w:rPr>
        <w:t>.</w:t>
      </w:r>
      <w:r>
        <w:rPr>
          <w:rFonts w:hint="eastAsia" w:ascii="宋体" w:hAnsi="宋体" w:cs="宋体"/>
          <w:szCs w:val="24"/>
        </w:rPr>
        <w:t>首次</w:t>
      </w:r>
      <w:r>
        <w:rPr>
          <w:rFonts w:hint="eastAsia" w:ascii="宋体" w:hAnsi="宋体" w:cs="宋体"/>
          <w:szCs w:val="21"/>
        </w:rPr>
        <w:t>响应文件的补充、修改与撤回</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供应商在首次响应文件提交截止时间前，可以对所提交的响应文件进行补充、修改或者撤回，并书面通知采购人。补充、修改的内容作为响应文件的组成部分。补充、修改的内容与响应文件不一致的，以补充、修改的内容为准。</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w:t>
      </w:r>
      <w:r>
        <w:rPr>
          <w:rFonts w:hint="eastAsia" w:ascii="宋体" w:hAnsi="宋体" w:cs="宋体"/>
          <w:szCs w:val="21"/>
          <w:lang w:val="en-US" w:eastAsia="zh-CN"/>
        </w:rPr>
        <w:t>1</w:t>
      </w:r>
      <w:r>
        <w:rPr>
          <w:rFonts w:hint="eastAsia" w:ascii="宋体" w:hAnsi="宋体" w:cs="宋体"/>
          <w:szCs w:val="21"/>
        </w:rPr>
        <w:t>.在首次响应文件提交截止时间止提交响应文件的供应商不足3家时，应当由供应商签字领回响应文件，除此之外采购人对已提交的响应文件概不退回。</w:t>
      </w:r>
    </w:p>
    <w:p>
      <w:pPr>
        <w:spacing w:line="380" w:lineRule="exact"/>
        <w:textAlignment w:val="baseline"/>
        <w:rPr>
          <w:rFonts w:ascii="宋体" w:hAnsi="宋体"/>
          <w:sz w:val="20"/>
          <w:szCs w:val="21"/>
        </w:rPr>
      </w:pPr>
    </w:p>
    <w:p>
      <w:pPr>
        <w:spacing w:line="380" w:lineRule="exact"/>
        <w:ind w:left="420" w:firstLine="420"/>
        <w:jc w:val="center"/>
        <w:textAlignment w:val="baseline"/>
        <w:rPr>
          <w:rFonts w:ascii="宋体" w:hAnsi="宋体"/>
          <w:b/>
          <w:bCs/>
          <w:sz w:val="32"/>
          <w:szCs w:val="32"/>
        </w:rPr>
      </w:pPr>
      <w:r>
        <w:rPr>
          <w:rFonts w:hint="eastAsia" w:ascii="宋体" w:hAnsi="宋体"/>
          <w:b/>
          <w:bCs/>
          <w:sz w:val="32"/>
          <w:szCs w:val="32"/>
        </w:rPr>
        <w:t>四、评审及磋商</w:t>
      </w:r>
    </w:p>
    <w:p>
      <w:pPr>
        <w:spacing w:line="380" w:lineRule="exact"/>
        <w:ind w:left="420" w:firstLine="420"/>
        <w:textAlignment w:val="baseline"/>
        <w:rPr>
          <w:rFonts w:ascii="宋体" w:hAnsi="宋体"/>
          <w:sz w:val="20"/>
          <w:szCs w:val="21"/>
        </w:rPr>
      </w:pP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w:t>
      </w:r>
      <w:r>
        <w:rPr>
          <w:rFonts w:hint="eastAsia" w:ascii="宋体" w:hAnsi="宋体" w:cs="宋体"/>
          <w:szCs w:val="21"/>
          <w:lang w:val="en-US" w:eastAsia="zh-CN"/>
        </w:rPr>
        <w:t>2</w:t>
      </w:r>
      <w:r>
        <w:rPr>
          <w:rFonts w:hint="eastAsia" w:ascii="宋体" w:hAnsi="宋体" w:cs="宋体"/>
          <w:szCs w:val="21"/>
        </w:rPr>
        <w:t>.磋商小组成立及响应文件的开启</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w:t>
      </w:r>
      <w:r>
        <w:rPr>
          <w:rFonts w:hint="eastAsia" w:ascii="宋体" w:hAnsi="宋体" w:cs="宋体"/>
          <w:szCs w:val="21"/>
          <w:lang w:val="en-US" w:eastAsia="zh-CN"/>
        </w:rPr>
        <w:t>2</w:t>
      </w:r>
      <w:r>
        <w:rPr>
          <w:rFonts w:hint="eastAsia" w:ascii="宋体" w:hAnsi="宋体" w:cs="宋体"/>
          <w:szCs w:val="21"/>
        </w:rPr>
        <w:t>.1磋商小组由采购人代表共3人以上单数组成，具体人数见“供应商须知前附表”。</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w:t>
      </w:r>
      <w:r>
        <w:rPr>
          <w:rFonts w:hint="eastAsia" w:ascii="宋体" w:hAnsi="宋体" w:cs="宋体"/>
          <w:szCs w:val="21"/>
          <w:lang w:val="en-US" w:eastAsia="zh-CN"/>
        </w:rPr>
        <w:t>2</w:t>
      </w:r>
      <w:r>
        <w:rPr>
          <w:rFonts w:hint="eastAsia" w:ascii="宋体" w:hAnsi="宋体" w:cs="宋体"/>
          <w:szCs w:val="21"/>
        </w:rPr>
        <w:t>.2响应文件的开启：具体详见“供应商须知前附表”。</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w:t>
      </w:r>
      <w:r>
        <w:rPr>
          <w:rFonts w:hint="eastAsia" w:ascii="宋体" w:hAnsi="宋体" w:cs="宋体"/>
          <w:szCs w:val="21"/>
          <w:lang w:val="en-US" w:eastAsia="zh-CN"/>
        </w:rPr>
        <w:t>3</w:t>
      </w:r>
      <w:r>
        <w:rPr>
          <w:rFonts w:hint="eastAsia" w:ascii="宋体" w:hAnsi="宋体" w:cs="宋体"/>
          <w:szCs w:val="21"/>
        </w:rPr>
        <w:t>.响应文件评审程序</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w:t>
      </w:r>
      <w:r>
        <w:rPr>
          <w:rFonts w:hint="eastAsia" w:ascii="宋体" w:hAnsi="宋体" w:cs="宋体"/>
          <w:szCs w:val="21"/>
          <w:lang w:val="en-US" w:eastAsia="zh-CN"/>
        </w:rPr>
        <w:t>3</w:t>
      </w:r>
      <w:r>
        <w:rPr>
          <w:rFonts w:hint="eastAsia" w:ascii="宋体" w:hAnsi="宋体" w:cs="宋体"/>
          <w:szCs w:val="21"/>
        </w:rPr>
        <w:t>.1资格审查</w:t>
      </w:r>
    </w:p>
    <w:p>
      <w:pPr>
        <w:spacing w:line="380" w:lineRule="exact"/>
        <w:ind w:firstLine="420" w:firstLineChars="200"/>
        <w:textAlignment w:val="baseline"/>
        <w:rPr>
          <w:rFonts w:ascii="宋体" w:hAnsi="宋体" w:cs="宋体"/>
          <w:sz w:val="20"/>
          <w:szCs w:val="21"/>
        </w:rPr>
      </w:pPr>
      <w:r>
        <w:rPr>
          <w:rFonts w:hint="eastAsia" w:ascii="宋体" w:hAnsi="宋体"/>
          <w:szCs w:val="21"/>
        </w:rPr>
        <w:t>2</w:t>
      </w:r>
      <w:r>
        <w:rPr>
          <w:rFonts w:hint="eastAsia" w:ascii="宋体" w:hAnsi="宋体"/>
          <w:szCs w:val="21"/>
          <w:lang w:val="en-US" w:eastAsia="zh-CN"/>
        </w:rPr>
        <w:t>3</w:t>
      </w:r>
      <w:r>
        <w:rPr>
          <w:rFonts w:ascii="宋体" w:hAnsi="宋体"/>
          <w:szCs w:val="21"/>
        </w:rPr>
        <w:t>.1.1</w:t>
      </w:r>
      <w:r>
        <w:rPr>
          <w:rFonts w:hint="eastAsia" w:ascii="宋体" w:hAnsi="宋体"/>
          <w:szCs w:val="21"/>
        </w:rPr>
        <w:t>响应文件开启后，由磋商小组依法对供应商的资格证明文件进行审查，</w:t>
      </w:r>
      <w:r>
        <w:rPr>
          <w:rFonts w:hint="eastAsia" w:ascii="宋体" w:hAnsi="宋体" w:cs="宋体"/>
          <w:szCs w:val="21"/>
        </w:rPr>
        <w:t>详见第四章“评审程序、评审方法和评审标准”第</w:t>
      </w:r>
      <w:r>
        <w:rPr>
          <w:rFonts w:ascii="宋体" w:hAnsi="宋体" w:cs="宋体"/>
          <w:szCs w:val="21"/>
        </w:rPr>
        <w:t>4</w:t>
      </w:r>
      <w:r>
        <w:rPr>
          <w:rFonts w:hint="eastAsia" w:ascii="宋体" w:hAnsi="宋体" w:cs="宋体"/>
          <w:szCs w:val="21"/>
        </w:rPr>
        <w:t>条“资格审查”，其中信用查询详见“供应商须知前附表” 。</w:t>
      </w:r>
    </w:p>
    <w:p>
      <w:pPr>
        <w:spacing w:line="380" w:lineRule="exact"/>
        <w:ind w:firstLine="420" w:firstLineChars="200"/>
        <w:textAlignment w:val="baseline"/>
        <w:rPr>
          <w:rFonts w:ascii="宋体" w:hAnsi="宋体" w:cs="宋体"/>
          <w:sz w:val="20"/>
          <w:szCs w:val="21"/>
        </w:rPr>
      </w:pPr>
      <w:r>
        <w:rPr>
          <w:rFonts w:hint="eastAsia" w:ascii="宋体" w:hAnsi="宋体"/>
          <w:szCs w:val="21"/>
        </w:rPr>
        <w:t>2</w:t>
      </w:r>
      <w:r>
        <w:rPr>
          <w:rFonts w:hint="eastAsia" w:ascii="宋体" w:hAnsi="宋体"/>
          <w:szCs w:val="21"/>
          <w:lang w:val="en-US" w:eastAsia="zh-CN"/>
        </w:rPr>
        <w:t>3</w:t>
      </w:r>
      <w:r>
        <w:rPr>
          <w:rFonts w:hint="eastAsia" w:ascii="宋体" w:hAnsi="宋体"/>
          <w:szCs w:val="21"/>
        </w:rPr>
        <w:t>.</w:t>
      </w:r>
      <w:r>
        <w:rPr>
          <w:rFonts w:ascii="宋体" w:hAnsi="宋体"/>
          <w:szCs w:val="21"/>
        </w:rPr>
        <w:t>1.2</w:t>
      </w:r>
      <w:r>
        <w:rPr>
          <w:rFonts w:hint="eastAsia" w:ascii="宋体" w:hAnsi="宋体"/>
          <w:szCs w:val="21"/>
        </w:rPr>
        <w:t>通过资格审查的合格供应商不足3家的，不得进入符合性审查环节，采购人应当重新开展采购活动。</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w:t>
      </w:r>
      <w:r>
        <w:rPr>
          <w:rFonts w:hint="eastAsia" w:ascii="宋体" w:hAnsi="宋体" w:cs="宋体"/>
          <w:szCs w:val="21"/>
          <w:lang w:val="en-US" w:eastAsia="zh-CN"/>
        </w:rPr>
        <w:t>3</w:t>
      </w:r>
      <w:r>
        <w:rPr>
          <w:rFonts w:hint="eastAsia" w:ascii="宋体" w:hAnsi="宋体" w:cs="宋体"/>
          <w:szCs w:val="21"/>
        </w:rPr>
        <w:t>.</w:t>
      </w:r>
      <w:r>
        <w:rPr>
          <w:rFonts w:ascii="宋体" w:hAnsi="宋体" w:cs="宋体"/>
          <w:szCs w:val="21"/>
        </w:rPr>
        <w:t>2</w:t>
      </w:r>
      <w:r>
        <w:rPr>
          <w:rFonts w:hint="eastAsia" w:ascii="宋体" w:hAnsi="宋体" w:cs="宋体"/>
          <w:szCs w:val="21"/>
        </w:rPr>
        <w:t>符合性审查</w:t>
      </w:r>
    </w:p>
    <w:p>
      <w:pPr>
        <w:spacing w:line="380" w:lineRule="exact"/>
        <w:ind w:firstLine="420" w:firstLineChars="200"/>
        <w:textAlignment w:val="baseline"/>
        <w:rPr>
          <w:rFonts w:ascii="宋体" w:hAnsi="宋体" w:cs="宋体"/>
          <w:sz w:val="20"/>
          <w:szCs w:val="21"/>
        </w:rPr>
      </w:pPr>
      <w:r>
        <w:rPr>
          <w:rFonts w:hint="eastAsia" w:ascii="宋体" w:hAnsi="宋体"/>
          <w:szCs w:val="21"/>
        </w:rPr>
        <w:t>2</w:t>
      </w:r>
      <w:r>
        <w:rPr>
          <w:rFonts w:hint="eastAsia" w:ascii="宋体" w:hAnsi="宋体"/>
          <w:szCs w:val="21"/>
          <w:lang w:val="en-US" w:eastAsia="zh-CN"/>
        </w:rPr>
        <w:t>3</w:t>
      </w:r>
      <w:r>
        <w:rPr>
          <w:rFonts w:ascii="宋体" w:hAnsi="宋体"/>
          <w:szCs w:val="21"/>
        </w:rPr>
        <w:t>.2.1</w:t>
      </w:r>
      <w:r>
        <w:rPr>
          <w:rFonts w:hint="eastAsia" w:ascii="宋体" w:hAnsi="宋体"/>
          <w:szCs w:val="21"/>
        </w:rPr>
        <w:t>由</w:t>
      </w:r>
      <w:r>
        <w:rPr>
          <w:rFonts w:hint="eastAsia" w:ascii="宋体" w:hAnsi="宋体" w:cs="宋体"/>
          <w:szCs w:val="21"/>
        </w:rPr>
        <w:t>磋商小组</w:t>
      </w:r>
      <w:r>
        <w:rPr>
          <w:rFonts w:hint="eastAsia" w:ascii="宋体" w:hAnsi="宋体"/>
          <w:szCs w:val="21"/>
        </w:rPr>
        <w:t>通过资格审查的合格供应商</w:t>
      </w:r>
      <w:r>
        <w:rPr>
          <w:rFonts w:hint="eastAsia" w:ascii="宋体" w:hAnsi="宋体" w:cs="宋体"/>
          <w:szCs w:val="21"/>
        </w:rPr>
        <w:t>的响应文件的、商务、技术等实质性要求进行符合性审查，以确定其是否满足竞争性磋商文件的实质性要求。详见第四章“评审程序、评审方法和评审标准”第</w:t>
      </w:r>
      <w:r>
        <w:rPr>
          <w:rFonts w:ascii="宋体" w:hAnsi="宋体" w:cs="宋体"/>
          <w:szCs w:val="21"/>
        </w:rPr>
        <w:t>5</w:t>
      </w:r>
      <w:r>
        <w:rPr>
          <w:rFonts w:hint="eastAsia" w:ascii="宋体" w:hAnsi="宋体" w:cs="宋体"/>
          <w:szCs w:val="21"/>
        </w:rPr>
        <w:t>条“符合性审查”，其中商务条款评审和技术需求评审中允许负偏离的条款数详见“供应商须知前附表”。</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w:t>
      </w:r>
      <w:r>
        <w:rPr>
          <w:rFonts w:hint="eastAsia" w:ascii="宋体" w:hAnsi="宋体" w:cs="宋体"/>
          <w:szCs w:val="21"/>
          <w:lang w:val="en-US" w:eastAsia="zh-CN"/>
        </w:rPr>
        <w:t>3</w:t>
      </w:r>
      <w:r>
        <w:rPr>
          <w:rFonts w:hint="eastAsia" w:ascii="宋体" w:hAnsi="宋体" w:cs="宋体"/>
          <w:szCs w:val="21"/>
        </w:rPr>
        <w:t>.</w:t>
      </w:r>
      <w:r>
        <w:rPr>
          <w:rFonts w:ascii="宋体" w:hAnsi="宋体" w:cs="宋体"/>
          <w:szCs w:val="21"/>
        </w:rPr>
        <w:t xml:space="preserve">2.2 </w:t>
      </w:r>
      <w:r>
        <w:rPr>
          <w:rFonts w:hint="eastAsia" w:ascii="宋体" w:hAnsi="宋体" w:cs="宋体"/>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w:t>
      </w:r>
      <w:r>
        <w:rPr>
          <w:rFonts w:hint="eastAsia" w:ascii="宋体" w:hAnsi="宋体" w:cs="宋体"/>
          <w:szCs w:val="21"/>
          <w:lang w:val="en-US" w:eastAsia="zh-CN"/>
        </w:rPr>
        <w:t>3</w:t>
      </w: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ascii="宋体" w:hAnsi="宋体" w:cs="宋体"/>
          <w:szCs w:val="21"/>
        </w:rPr>
        <w:t>3</w:t>
      </w:r>
      <w:r>
        <w:rPr>
          <w:rFonts w:hint="eastAsia" w:ascii="宋体" w:hAnsi="宋体" w:cs="宋体"/>
          <w:szCs w:val="21"/>
        </w:rPr>
        <w:t>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应当由法定代表人或其授权代表签字或者加盖公章。由授权代表签字的，应当附法定代表人授权书（若委托代理人为响应文件中承诺的授权委托代理人的，无须出示法定代表人授权委托书）。供应商为自然人的，应当由本人签字并附身份证明。</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w:t>
      </w:r>
      <w:r>
        <w:rPr>
          <w:rFonts w:hint="eastAsia" w:ascii="宋体" w:hAnsi="宋体" w:cs="宋体"/>
          <w:szCs w:val="21"/>
          <w:lang w:val="en-US" w:eastAsia="zh-CN"/>
        </w:rPr>
        <w:t>3</w:t>
      </w: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pPr>
        <w:spacing w:line="380" w:lineRule="exact"/>
        <w:ind w:firstLine="420" w:firstLineChars="200"/>
        <w:textAlignment w:val="baseline"/>
        <w:rPr>
          <w:rFonts w:ascii="宋体" w:hAnsi="宋体" w:cs="宋体"/>
          <w:sz w:val="20"/>
          <w:szCs w:val="21"/>
        </w:rPr>
      </w:pPr>
      <w:r>
        <w:rPr>
          <w:rFonts w:hint="eastAsia" w:ascii="宋体" w:hAnsi="宋体"/>
          <w:szCs w:val="21"/>
        </w:rPr>
        <w:t>2</w:t>
      </w:r>
      <w:r>
        <w:rPr>
          <w:rFonts w:hint="eastAsia" w:ascii="宋体" w:hAnsi="宋体"/>
          <w:szCs w:val="21"/>
          <w:lang w:val="en-US" w:eastAsia="zh-CN"/>
        </w:rPr>
        <w:t>3</w:t>
      </w:r>
      <w:r>
        <w:rPr>
          <w:rFonts w:hint="eastAsia" w:ascii="宋体" w:hAnsi="宋体"/>
          <w:szCs w:val="21"/>
        </w:rPr>
        <w:t>.2.</w:t>
      </w:r>
      <w:r>
        <w:rPr>
          <w:rFonts w:hint="eastAsia" w:ascii="宋体" w:hAnsi="宋体"/>
          <w:szCs w:val="21"/>
          <w:lang w:val="en-US" w:eastAsia="zh-CN"/>
        </w:rPr>
        <w:t>5</w:t>
      </w:r>
      <w:r>
        <w:rPr>
          <w:rFonts w:hint="eastAsia" w:ascii="宋体" w:hAnsi="宋体"/>
          <w:szCs w:val="21"/>
        </w:rPr>
        <w:t>通过符合性审查的合格供应商不足3家的，不得进入磋商环节，采购人应当重新开展采购活动。</w:t>
      </w:r>
    </w:p>
    <w:p>
      <w:pPr>
        <w:spacing w:line="380" w:lineRule="exact"/>
        <w:ind w:firstLine="420" w:firstLineChars="200"/>
        <w:textAlignment w:val="baseline"/>
        <w:rPr>
          <w:rFonts w:ascii="宋体" w:hAnsi="宋体" w:cs="宋体"/>
          <w:kern w:val="0"/>
          <w:sz w:val="20"/>
          <w:szCs w:val="21"/>
        </w:rPr>
      </w:pPr>
      <w:r>
        <w:rPr>
          <w:rFonts w:hint="eastAsia" w:ascii="宋体" w:hAnsi="宋体" w:cs="宋体"/>
          <w:kern w:val="0"/>
          <w:szCs w:val="21"/>
        </w:rPr>
        <w:t>2</w:t>
      </w:r>
      <w:r>
        <w:rPr>
          <w:rFonts w:hint="eastAsia" w:ascii="宋体" w:hAnsi="宋体" w:cs="宋体"/>
          <w:kern w:val="0"/>
          <w:szCs w:val="21"/>
          <w:lang w:val="en-US" w:eastAsia="zh-CN"/>
        </w:rPr>
        <w:t>4</w:t>
      </w:r>
      <w:r>
        <w:rPr>
          <w:rFonts w:hint="eastAsia" w:ascii="宋体" w:hAnsi="宋体" w:cs="宋体"/>
          <w:kern w:val="0"/>
          <w:szCs w:val="21"/>
        </w:rPr>
        <w:t>.磋商</w:t>
      </w:r>
    </w:p>
    <w:p>
      <w:pPr>
        <w:spacing w:line="380" w:lineRule="exact"/>
        <w:ind w:firstLine="420" w:firstLineChars="200"/>
        <w:textAlignment w:val="baseline"/>
        <w:rPr>
          <w:rFonts w:ascii="宋体" w:hAnsi="宋体" w:cs="宋体"/>
          <w:kern w:val="0"/>
          <w:sz w:val="20"/>
          <w:szCs w:val="21"/>
        </w:rPr>
      </w:pPr>
      <w:r>
        <w:rPr>
          <w:rFonts w:hint="eastAsia" w:ascii="宋体" w:hAnsi="宋体" w:cs="宋体"/>
          <w:kern w:val="0"/>
          <w:szCs w:val="21"/>
          <w:lang w:val="en-US" w:eastAsia="zh-CN"/>
        </w:rPr>
        <w:t>24</w:t>
      </w:r>
      <w:r>
        <w:rPr>
          <w:rFonts w:hint="eastAsia" w:ascii="宋体" w:hAnsi="宋体" w:cs="宋体"/>
          <w:kern w:val="0"/>
          <w:szCs w:val="21"/>
        </w:rPr>
        <w:t>.1磋商小组按照“供应商须知前附表”确定的</w:t>
      </w:r>
      <w:r>
        <w:rPr>
          <w:rFonts w:hint="eastAsia" w:ascii="宋体" w:hAnsi="宋体" w:cs="宋体"/>
          <w:szCs w:val="21"/>
        </w:rPr>
        <w:t>顺序，集中与单一供应商分别进行磋商，并给予所有参加磋商的供应商平等的磋商机会。供应商应当在采购人发出磋商通知后3</w:t>
      </w:r>
      <w:r>
        <w:rPr>
          <w:rFonts w:ascii="宋体" w:hAnsi="宋体" w:cs="宋体"/>
          <w:szCs w:val="21"/>
        </w:rPr>
        <w:t>0</w:t>
      </w:r>
      <w:r>
        <w:rPr>
          <w:rFonts w:hint="eastAsia" w:ascii="宋体" w:hAnsi="宋体" w:cs="宋体"/>
          <w:szCs w:val="21"/>
        </w:rPr>
        <w:t>分钟内到达磋商地点，否则视同放弃参加磋商权利，其响应文件按无效响应处理。</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24</w:t>
      </w:r>
      <w:r>
        <w:rPr>
          <w:rFonts w:hint="eastAsia" w:ascii="宋体" w:hAnsi="宋体" w:cs="宋体"/>
          <w:szCs w:val="21"/>
        </w:rPr>
        <w:t>.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24</w:t>
      </w:r>
      <w:r>
        <w:rPr>
          <w:rFonts w:hint="eastAsia" w:ascii="宋体" w:hAnsi="宋体" w:cs="宋体"/>
          <w:szCs w:val="21"/>
        </w:rPr>
        <w:t>.3对竞争性磋商文件作出的实质性变动是竞争性磋商文件的有效组成部分，由磋商小组及时以书面形式同时通知所有参加磋商的供应商。</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w:t>
      </w:r>
      <w:r>
        <w:rPr>
          <w:rFonts w:hint="eastAsia" w:ascii="宋体" w:hAnsi="宋体" w:cs="宋体"/>
          <w:szCs w:val="21"/>
          <w:lang w:val="en-US" w:eastAsia="zh-CN"/>
        </w:rPr>
        <w:t>4</w:t>
      </w:r>
      <w:r>
        <w:rPr>
          <w:rFonts w:hint="eastAsia" w:ascii="宋体" w:hAnsi="宋体" w:cs="宋体"/>
          <w:szCs w:val="21"/>
        </w:rPr>
        <w:t>.4供应商应当按照竞争性磋商文件的变动情况和磋商小组的要求重新提交响应文件，并由其法定代表人或授权代表签字或者加盖公章。由授权代表签字的，应当附法定代表人授权书（若委托代理人为响应文件中承诺的授权委托代理人的，无须出示法定代表人授权委托书）。供应商为自然人的，应当由本人签字并附身份证明。参加磋商的供应商未在规定时间内重新提交响应文件的，视同退出磋商。</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w:t>
      </w:r>
      <w:r>
        <w:rPr>
          <w:rFonts w:hint="eastAsia" w:ascii="宋体" w:hAnsi="宋体" w:cs="宋体"/>
          <w:szCs w:val="21"/>
          <w:lang w:val="en-US" w:eastAsia="zh-CN"/>
        </w:rPr>
        <w:t>4</w:t>
      </w:r>
      <w:r>
        <w:rPr>
          <w:rFonts w:hint="eastAsia" w:ascii="宋体" w:hAnsi="宋体" w:cs="宋体"/>
          <w:szCs w:val="21"/>
        </w:rPr>
        <w:t>.5磋商中，</w:t>
      </w:r>
      <w:r>
        <w:rPr>
          <w:rFonts w:hint="eastAsia" w:ascii="宋体" w:hAnsi="宋体" w:cs="宋体"/>
          <w:spacing w:val="-6"/>
          <w:szCs w:val="21"/>
        </w:rPr>
        <w:t>磋商的任何一方不得透露与磋商有关的其他供应商的技术资料、价格和其他信息。</w:t>
      </w:r>
    </w:p>
    <w:p>
      <w:pPr>
        <w:widowControl/>
        <w:tabs>
          <w:tab w:val="left" w:pos="540"/>
        </w:tabs>
        <w:spacing w:line="380" w:lineRule="exact"/>
        <w:ind w:firstLine="420" w:firstLineChars="200"/>
        <w:jc w:val="left"/>
        <w:textAlignment w:val="baseline"/>
        <w:rPr>
          <w:rFonts w:ascii="宋体" w:hAnsi="宋体" w:cs="宋体"/>
          <w:sz w:val="20"/>
          <w:szCs w:val="21"/>
        </w:rPr>
      </w:pPr>
      <w:r>
        <w:rPr>
          <w:rFonts w:hint="eastAsia" w:ascii="宋体" w:hAnsi="宋体" w:cs="宋体"/>
          <w:szCs w:val="21"/>
          <w:lang w:val="en-US" w:eastAsia="zh-CN"/>
        </w:rPr>
        <w:t>24</w:t>
      </w:r>
      <w:r>
        <w:rPr>
          <w:rFonts w:hint="eastAsia" w:ascii="宋体" w:hAnsi="宋体" w:cs="宋体"/>
          <w:szCs w:val="21"/>
        </w:rPr>
        <w:t>.6采购</w:t>
      </w:r>
      <w:r>
        <w:rPr>
          <w:rFonts w:hint="eastAsia" w:ascii="宋体" w:hAnsi="宋体" w:cs="宋体"/>
          <w:szCs w:val="21"/>
          <w:lang w:val="en-US" w:eastAsia="zh-CN"/>
        </w:rPr>
        <w:t>人工作人员</w:t>
      </w:r>
      <w:r>
        <w:rPr>
          <w:rFonts w:hint="eastAsia" w:ascii="宋体" w:hAnsi="宋体" w:cs="宋体"/>
          <w:szCs w:val="21"/>
        </w:rPr>
        <w:t>对磋商过程和重要磋商内容进行记录，磋商双方应在记录上签字确认。</w:t>
      </w:r>
    </w:p>
    <w:p>
      <w:pPr>
        <w:widowControl/>
        <w:tabs>
          <w:tab w:val="left" w:pos="540"/>
        </w:tabs>
        <w:spacing w:line="380" w:lineRule="exact"/>
        <w:ind w:firstLine="420" w:firstLineChars="200"/>
        <w:jc w:val="left"/>
        <w:textAlignment w:val="baseline"/>
        <w:rPr>
          <w:rFonts w:ascii="宋体" w:hAnsi="宋体" w:cs="宋体"/>
          <w:sz w:val="20"/>
          <w:szCs w:val="21"/>
        </w:rPr>
      </w:pPr>
      <w:r>
        <w:rPr>
          <w:rFonts w:hint="eastAsia" w:ascii="宋体" w:hAnsi="宋体" w:cs="宋体"/>
          <w:szCs w:val="21"/>
          <w:lang w:val="en-US" w:eastAsia="zh-CN"/>
        </w:rPr>
        <w:t>24</w:t>
      </w:r>
      <w:r>
        <w:rPr>
          <w:rFonts w:hint="eastAsia" w:ascii="宋体" w:hAnsi="宋体" w:cs="宋体"/>
          <w:szCs w:val="21"/>
        </w:rPr>
        <w:t>.7磋商过程中重新提交的响应文件，供应商可以在开启前补充、修改。</w:t>
      </w:r>
    </w:p>
    <w:p>
      <w:pPr>
        <w:widowControl/>
        <w:tabs>
          <w:tab w:val="left" w:pos="540"/>
        </w:tabs>
        <w:spacing w:line="380" w:lineRule="exact"/>
        <w:ind w:firstLine="420" w:firstLineChars="200"/>
        <w:jc w:val="left"/>
        <w:textAlignment w:val="baseline"/>
        <w:rPr>
          <w:rFonts w:ascii="宋体" w:hAnsi="宋体" w:cs="宋体"/>
          <w:sz w:val="20"/>
          <w:szCs w:val="21"/>
        </w:rPr>
      </w:pPr>
      <w:r>
        <w:rPr>
          <w:rFonts w:hint="eastAsia" w:ascii="宋体" w:hAnsi="宋体" w:cs="宋体"/>
          <w:szCs w:val="21"/>
        </w:rPr>
        <w:t>2</w:t>
      </w:r>
      <w:r>
        <w:rPr>
          <w:rFonts w:hint="eastAsia" w:ascii="宋体" w:hAnsi="宋体" w:cs="宋体"/>
          <w:szCs w:val="21"/>
          <w:lang w:val="en-US" w:eastAsia="zh-CN"/>
        </w:rPr>
        <w:t>4</w:t>
      </w:r>
      <w:r>
        <w:rPr>
          <w:rFonts w:ascii="宋体" w:hAnsi="宋体" w:cs="宋体"/>
          <w:szCs w:val="21"/>
        </w:rPr>
        <w:t>.8</w:t>
      </w:r>
      <w:r>
        <w:rPr>
          <w:rFonts w:ascii="宋体" w:hAnsi="宋体"/>
          <w:szCs w:val="21"/>
        </w:rPr>
        <w:t>采用竞争性磋商采购方式采购的购买服务项目（含政府和社会资本合作项目），在采购过程中符合要求的供应商（社会资本）只有2家的，竞争性磋商采购活动可以继续进行。采购过程中符合要求的供应商（社会资本）只有1家的，采购人（项目实施机构）应当终止竞争性磋商采购活动，发布项目终止公告并说明原因，重新开展采购活动。</w:t>
      </w:r>
    </w:p>
    <w:p>
      <w:pPr>
        <w:widowControl/>
        <w:tabs>
          <w:tab w:val="left" w:pos="540"/>
        </w:tabs>
        <w:spacing w:line="380" w:lineRule="exact"/>
        <w:ind w:firstLine="420" w:firstLineChars="200"/>
        <w:jc w:val="left"/>
        <w:textAlignment w:val="baseline"/>
        <w:rPr>
          <w:rFonts w:ascii="宋体" w:hAnsi="宋体" w:cs="宋体"/>
          <w:sz w:val="20"/>
          <w:szCs w:val="21"/>
        </w:rPr>
      </w:pPr>
      <w:r>
        <w:rPr>
          <w:rFonts w:hint="eastAsia" w:ascii="宋体" w:hAnsi="宋体"/>
          <w:szCs w:val="21"/>
        </w:rPr>
        <w:t>2</w:t>
      </w:r>
      <w:r>
        <w:rPr>
          <w:rFonts w:hint="eastAsia" w:ascii="宋体" w:hAnsi="宋体"/>
          <w:szCs w:val="21"/>
          <w:lang w:val="en-US" w:eastAsia="zh-CN"/>
        </w:rPr>
        <w:t>4</w:t>
      </w:r>
      <w:r>
        <w:rPr>
          <w:rFonts w:ascii="宋体" w:hAnsi="宋体"/>
          <w:szCs w:val="21"/>
        </w:rPr>
        <w:t>.9</w:t>
      </w:r>
      <w:r>
        <w:rPr>
          <w:rFonts w:hint="eastAsia" w:ascii="宋体" w:hAnsi="宋体"/>
          <w:szCs w:val="21"/>
        </w:rPr>
        <w:t>对磋商过程提交的响应文件进行有效性、完整性和响应程度审查，通过审查的合格供应商不足3家的，除本须知正文第2</w:t>
      </w:r>
      <w:r>
        <w:rPr>
          <w:rFonts w:hint="eastAsia" w:ascii="宋体" w:hAnsi="宋体"/>
          <w:szCs w:val="21"/>
          <w:lang w:val="en-US" w:eastAsia="zh-CN"/>
        </w:rPr>
        <w:t>4</w:t>
      </w:r>
      <w:r>
        <w:rPr>
          <w:rFonts w:hint="eastAsia" w:ascii="宋体" w:hAnsi="宋体"/>
          <w:szCs w:val="21"/>
        </w:rPr>
        <w:t>.</w:t>
      </w:r>
      <w:r>
        <w:rPr>
          <w:rFonts w:ascii="宋体" w:hAnsi="宋体"/>
          <w:szCs w:val="21"/>
        </w:rPr>
        <w:t>8</w:t>
      </w:r>
      <w:r>
        <w:rPr>
          <w:rFonts w:hint="eastAsia" w:ascii="宋体" w:hAnsi="宋体"/>
          <w:szCs w:val="21"/>
        </w:rPr>
        <w:t>条的情形外，采购人或采购代理机构应当重新开展采购活动。</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w:t>
      </w:r>
      <w:r>
        <w:rPr>
          <w:rFonts w:hint="eastAsia" w:ascii="宋体" w:hAnsi="宋体" w:cs="宋体"/>
          <w:szCs w:val="21"/>
          <w:lang w:val="en-US" w:eastAsia="zh-CN"/>
        </w:rPr>
        <w:t>5</w:t>
      </w:r>
      <w:r>
        <w:rPr>
          <w:rFonts w:hint="eastAsia" w:ascii="宋体" w:hAnsi="宋体" w:cs="宋体"/>
          <w:szCs w:val="21"/>
        </w:rPr>
        <w:t>.竞争性磋商文件能够详细列明采购标的的技术、服务要求的，磋商结束后，由磋商小组要求所有继续参加磋商的供应商在规定时间内密封提交最后报价，提交最后报价的供应商不得少于3家。</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竞争性磋商文件不能详细列明采购标的的技术、服务要求，需经磋商由供应商提供最后设计方案或解决方案的，磋商结束后，由磋商小组按照少数服从多数的原则投票推荐3家以上供应商的设计方案或者解决方案，并要求其在规定时间内密封提交最后报价。</w:t>
      </w:r>
    </w:p>
    <w:p>
      <w:pPr>
        <w:spacing w:line="380" w:lineRule="exact"/>
        <w:ind w:firstLine="420" w:firstLineChars="200"/>
        <w:textAlignment w:val="baseline"/>
        <w:rPr>
          <w:rFonts w:ascii="宋体" w:hAnsi="宋体" w:cs="宋体"/>
          <w:sz w:val="20"/>
          <w:szCs w:val="21"/>
        </w:rPr>
      </w:pPr>
      <w:r>
        <w:rPr>
          <w:rFonts w:hint="eastAsia" w:ascii="宋体" w:hAnsi="宋体"/>
          <w:kern w:val="0"/>
          <w:szCs w:val="21"/>
        </w:rPr>
        <w:t>2</w:t>
      </w:r>
      <w:r>
        <w:rPr>
          <w:rFonts w:hint="eastAsia" w:ascii="宋体" w:hAnsi="宋体"/>
          <w:kern w:val="0"/>
          <w:szCs w:val="21"/>
          <w:lang w:val="en-US" w:eastAsia="zh-CN"/>
        </w:rPr>
        <w:t>6</w:t>
      </w:r>
      <w:r>
        <w:rPr>
          <w:rFonts w:hint="eastAsia" w:ascii="宋体" w:hAnsi="宋体"/>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80" w:lineRule="exact"/>
        <w:ind w:firstLine="420" w:firstLineChars="200"/>
        <w:textAlignment w:val="baseline"/>
        <w:rPr>
          <w:rFonts w:ascii="宋体" w:hAnsi="宋体" w:cs="宋体"/>
          <w:sz w:val="20"/>
          <w:szCs w:val="21"/>
        </w:rPr>
      </w:pPr>
      <w:r>
        <w:rPr>
          <w:rFonts w:ascii="宋体" w:hAnsi="宋体" w:cs="宋体"/>
          <w:szCs w:val="21"/>
        </w:rPr>
        <w:t>2</w:t>
      </w:r>
      <w:r>
        <w:rPr>
          <w:rFonts w:hint="eastAsia" w:ascii="宋体" w:hAnsi="宋体" w:cs="宋体"/>
          <w:szCs w:val="21"/>
          <w:lang w:val="en-US" w:eastAsia="zh-CN"/>
        </w:rPr>
        <w:t>7</w:t>
      </w:r>
      <w:r>
        <w:rPr>
          <w:rFonts w:hint="eastAsia" w:ascii="宋体" w:hAnsi="宋体" w:cs="宋体"/>
          <w:szCs w:val="21"/>
        </w:rPr>
        <w:t>.确定成交供应商及结果公告</w:t>
      </w:r>
    </w:p>
    <w:p>
      <w:pPr>
        <w:spacing w:line="380" w:lineRule="exact"/>
        <w:ind w:firstLine="420" w:firstLineChars="200"/>
        <w:textAlignment w:val="baseline"/>
        <w:rPr>
          <w:rFonts w:hint="eastAsia" w:ascii="宋体" w:hAnsi="宋体" w:cs="宋体"/>
          <w:szCs w:val="21"/>
          <w:highlight w:val="none"/>
        </w:rPr>
      </w:pPr>
      <w:r>
        <w:rPr>
          <w:rFonts w:ascii="宋体" w:hAnsi="宋体" w:cs="宋体"/>
          <w:szCs w:val="21"/>
        </w:rPr>
        <w:t>2</w:t>
      </w:r>
      <w:r>
        <w:rPr>
          <w:rFonts w:hint="eastAsia" w:ascii="宋体" w:hAnsi="宋体" w:cs="宋体"/>
          <w:szCs w:val="21"/>
          <w:lang w:val="en-US" w:eastAsia="zh-CN"/>
        </w:rPr>
        <w:t>7</w:t>
      </w:r>
      <w:r>
        <w:rPr>
          <w:rFonts w:hint="eastAsia" w:ascii="宋体" w:hAnsi="宋体" w:cs="宋体"/>
          <w:szCs w:val="21"/>
        </w:rPr>
        <w:t>.1采购人应当在</w:t>
      </w:r>
      <w:r>
        <w:rPr>
          <w:rFonts w:hint="eastAsia" w:ascii="宋体" w:hAnsi="宋体" w:cs="宋体"/>
          <w:szCs w:val="21"/>
          <w:highlight w:val="none"/>
        </w:rPr>
        <w:t>评审结束后2个工作日内确认评审报告</w:t>
      </w:r>
      <w:r>
        <w:rPr>
          <w:rFonts w:hint="eastAsia" w:ascii="宋体" w:hAnsi="宋体" w:cs="宋体"/>
          <w:szCs w:val="21"/>
          <w:highlight w:val="none"/>
          <w:lang w:val="en-US" w:eastAsia="zh-CN"/>
        </w:rPr>
        <w:t>并在</w:t>
      </w:r>
      <w:r>
        <w:rPr>
          <w:rFonts w:hint="eastAsia" w:ascii="宋体" w:hAnsi="宋体" w:cs="宋体"/>
          <w:szCs w:val="21"/>
          <w:highlight w:val="none"/>
        </w:rPr>
        <w:t>成交候选供应商中按照排序由高到低的原则确定成交供应商，也可以书面授权磋商小组直接确定成交供应商。</w:t>
      </w:r>
    </w:p>
    <w:p>
      <w:pPr>
        <w:spacing w:line="380" w:lineRule="exact"/>
        <w:ind w:firstLine="420" w:firstLineChars="200"/>
        <w:textAlignment w:val="baseline"/>
        <w:rPr>
          <w:rFonts w:ascii="宋体" w:hAnsi="宋体" w:cs="宋体"/>
          <w:sz w:val="20"/>
          <w:szCs w:val="21"/>
        </w:rPr>
      </w:pPr>
      <w:r>
        <w:rPr>
          <w:rFonts w:ascii="宋体" w:hAnsi="宋体" w:cs="宋体"/>
          <w:szCs w:val="21"/>
          <w:highlight w:val="none"/>
        </w:rPr>
        <w:t>2</w:t>
      </w:r>
      <w:r>
        <w:rPr>
          <w:rFonts w:hint="eastAsia" w:ascii="宋体" w:hAnsi="宋体" w:cs="宋体"/>
          <w:szCs w:val="21"/>
          <w:highlight w:val="none"/>
          <w:lang w:val="en-US" w:eastAsia="zh-CN"/>
        </w:rPr>
        <w:t>7</w:t>
      </w:r>
      <w:r>
        <w:rPr>
          <w:rFonts w:hint="eastAsia" w:ascii="宋体" w:hAnsi="宋体" w:cs="宋体"/>
          <w:szCs w:val="21"/>
          <w:highlight w:val="none"/>
        </w:rPr>
        <w:t>.2采购</w:t>
      </w:r>
      <w:r>
        <w:rPr>
          <w:rFonts w:hint="eastAsia" w:ascii="宋体" w:hAnsi="宋体" w:cs="宋体"/>
          <w:szCs w:val="21"/>
          <w:highlight w:val="none"/>
          <w:lang w:val="en-US" w:eastAsia="zh-CN"/>
        </w:rPr>
        <w:t>人</w:t>
      </w:r>
      <w:r>
        <w:rPr>
          <w:rFonts w:hint="eastAsia" w:ascii="宋体" w:hAnsi="宋体" w:cs="宋体"/>
          <w:szCs w:val="21"/>
          <w:highlight w:val="none"/>
        </w:rPr>
        <w:t>应当在</w:t>
      </w:r>
      <w:r>
        <w:rPr>
          <w:rFonts w:hint="eastAsia" w:ascii="宋体" w:hAnsi="宋体" w:cs="宋体"/>
          <w:kern w:val="0"/>
          <w:szCs w:val="21"/>
          <w:highlight w:val="none"/>
        </w:rPr>
        <w:t>成交</w:t>
      </w:r>
      <w:r>
        <w:rPr>
          <w:rFonts w:hint="eastAsia" w:ascii="宋体" w:hAnsi="宋体" w:cs="宋体"/>
          <w:szCs w:val="21"/>
          <w:highlight w:val="none"/>
        </w:rPr>
        <w:t>供应商确定后2个工作日内</w:t>
      </w:r>
      <w:r>
        <w:rPr>
          <w:rFonts w:hint="eastAsia" w:ascii="宋体" w:hAnsi="宋体" w:cs="宋体"/>
          <w:szCs w:val="21"/>
        </w:rPr>
        <w:t>，在竞争性磋商公告指定的媒体上公告成交结果，同时向成交供应商发出成交通知书。采购人发出成交通知书前，应当对成交供应商信用进行查询，对列入失信被执行人、重大税收违法案件当事人名单、政府采购严重违法失信行为记录名单及其他不符合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pPr>
        <w:spacing w:line="380" w:lineRule="exact"/>
        <w:ind w:firstLine="420" w:firstLineChars="200"/>
        <w:textAlignment w:val="baseline"/>
        <w:rPr>
          <w:rFonts w:ascii="宋体" w:hAnsi="宋体" w:cs="宋体"/>
          <w:b/>
          <w:sz w:val="20"/>
          <w:szCs w:val="24"/>
        </w:rPr>
      </w:pPr>
      <w:r>
        <w:rPr>
          <w:rFonts w:hint="eastAsia" w:ascii="宋体" w:hAnsi="宋体" w:cs="宋体"/>
          <w:szCs w:val="21"/>
        </w:rPr>
        <w:t>2</w:t>
      </w:r>
      <w:r>
        <w:rPr>
          <w:rFonts w:hint="eastAsia" w:ascii="宋体" w:hAnsi="宋体" w:cs="宋体"/>
          <w:szCs w:val="21"/>
          <w:lang w:val="en-US" w:eastAsia="zh-CN"/>
        </w:rPr>
        <w:t>7</w:t>
      </w:r>
      <w:r>
        <w:rPr>
          <w:rFonts w:ascii="宋体" w:hAnsi="宋体" w:cs="宋体"/>
          <w:szCs w:val="21"/>
        </w:rPr>
        <w:t>.3</w:t>
      </w:r>
      <w:r>
        <w:rPr>
          <w:rFonts w:hint="eastAsia" w:ascii="宋体" w:hAnsi="宋体" w:cs="宋体"/>
          <w:szCs w:val="24"/>
        </w:rPr>
        <w:t>采购人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80" w:lineRule="exact"/>
        <w:ind w:firstLine="420" w:firstLineChars="200"/>
        <w:textAlignment w:val="baseline"/>
        <w:rPr>
          <w:rFonts w:ascii="宋体" w:hAnsi="宋体" w:cs="宋体"/>
          <w:sz w:val="20"/>
          <w:szCs w:val="21"/>
        </w:rPr>
      </w:pPr>
      <w:r>
        <w:rPr>
          <w:rFonts w:ascii="宋体" w:hAnsi="宋体"/>
          <w:bCs/>
          <w:szCs w:val="21"/>
        </w:rPr>
        <w:t>2</w:t>
      </w:r>
      <w:r>
        <w:rPr>
          <w:rFonts w:hint="eastAsia" w:ascii="宋体" w:hAnsi="宋体"/>
          <w:bCs/>
          <w:szCs w:val="21"/>
          <w:lang w:val="en-US" w:eastAsia="zh-CN"/>
        </w:rPr>
        <w:t>7</w:t>
      </w:r>
      <w:r>
        <w:rPr>
          <w:rFonts w:ascii="宋体" w:hAnsi="宋体"/>
          <w:bCs/>
          <w:szCs w:val="21"/>
        </w:rPr>
        <w:t>.4</w:t>
      </w:r>
      <w:r>
        <w:rPr>
          <w:rFonts w:hint="eastAsia" w:ascii="宋体" w:hAnsi="宋体"/>
          <w:bCs/>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28</w:t>
      </w:r>
      <w:r>
        <w:rPr>
          <w:rFonts w:hint="eastAsia" w:ascii="宋体" w:hAnsi="宋体" w:cs="宋体"/>
          <w:szCs w:val="21"/>
        </w:rPr>
        <w:t>.履约保证金</w:t>
      </w:r>
    </w:p>
    <w:p>
      <w:pPr>
        <w:spacing w:line="380" w:lineRule="exact"/>
        <w:ind w:firstLine="424" w:firstLineChars="202"/>
        <w:textAlignment w:val="baseline"/>
        <w:rPr>
          <w:rFonts w:ascii="宋体" w:hAnsi="宋体" w:cs="宋体"/>
          <w:sz w:val="20"/>
          <w:szCs w:val="21"/>
        </w:rPr>
      </w:pPr>
      <w:r>
        <w:rPr>
          <w:rFonts w:hint="eastAsia" w:ascii="宋体" w:hAnsi="宋体" w:cs="宋体"/>
          <w:szCs w:val="21"/>
          <w:lang w:val="en-US" w:eastAsia="zh-CN"/>
        </w:rPr>
        <w:t>28</w:t>
      </w:r>
      <w:r>
        <w:rPr>
          <w:rFonts w:hint="eastAsia" w:ascii="宋体" w:hAnsi="宋体" w:cs="宋体"/>
          <w:szCs w:val="21"/>
        </w:rPr>
        <w:t>.1履约保证金的金额、提交方式、退付的时间和条件详见 “供应商须知前附表”。成交供应商未按规定提交履约保证金的，视为拒绝</w:t>
      </w:r>
      <w:r>
        <w:rPr>
          <w:rFonts w:ascii="Times New Roman" w:hAnsi="Times New Roman"/>
          <w:szCs w:val="24"/>
        </w:rPr>
        <w:t>与采购人</w:t>
      </w:r>
      <w:r>
        <w:rPr>
          <w:rFonts w:hint="eastAsia" w:ascii="宋体" w:hAnsi="宋体" w:cs="宋体"/>
          <w:szCs w:val="21"/>
        </w:rPr>
        <w:t>签订合同，采购人可以按照评审报告推荐的成交候选人名单排序，确定下一候选人为成交供应商，也可以重新开展采购活动。</w:t>
      </w:r>
    </w:p>
    <w:p>
      <w:pPr>
        <w:spacing w:line="380" w:lineRule="exact"/>
        <w:ind w:firstLine="424" w:firstLineChars="202"/>
        <w:textAlignment w:val="baseline"/>
        <w:rPr>
          <w:rFonts w:ascii="宋体" w:hAnsi="宋体" w:cs="宋体"/>
          <w:sz w:val="20"/>
          <w:szCs w:val="21"/>
        </w:rPr>
      </w:pPr>
      <w:r>
        <w:rPr>
          <w:rFonts w:hint="eastAsia" w:ascii="宋体" w:hAnsi="宋体" w:cs="宋体"/>
          <w:szCs w:val="21"/>
          <w:lang w:val="en-US" w:eastAsia="zh-CN"/>
        </w:rPr>
        <w:t>28</w:t>
      </w:r>
      <w:r>
        <w:rPr>
          <w:rFonts w:hint="eastAsia" w:ascii="宋体" w:hAnsi="宋体" w:cs="宋体"/>
          <w:szCs w:val="21"/>
        </w:rPr>
        <w:t>.2签订合同后，如成交供应商不按双方签订的合同规定履约，则没收其全部履约保证金，履约保证金不足以赔偿损失的，按实际损失赔偿。</w:t>
      </w:r>
    </w:p>
    <w:p>
      <w:pPr>
        <w:spacing w:line="380" w:lineRule="exact"/>
        <w:ind w:firstLine="424" w:firstLineChars="202"/>
        <w:textAlignment w:val="baseline"/>
        <w:rPr>
          <w:rFonts w:ascii="宋体" w:hAnsi="宋体" w:cs="宋体"/>
          <w:sz w:val="20"/>
          <w:szCs w:val="21"/>
        </w:rPr>
      </w:pPr>
      <w:r>
        <w:rPr>
          <w:rFonts w:hint="eastAsia" w:ascii="宋体" w:hAnsi="宋体" w:cs="宋体"/>
          <w:szCs w:val="21"/>
          <w:lang w:val="en-US" w:eastAsia="zh-CN"/>
        </w:rPr>
        <w:t>28</w:t>
      </w:r>
      <w:r>
        <w:rPr>
          <w:rFonts w:hint="eastAsia" w:ascii="宋体" w:hAnsi="宋体" w:cs="宋体"/>
          <w:szCs w:val="21"/>
        </w:rPr>
        <w:t>.</w:t>
      </w:r>
      <w:r>
        <w:rPr>
          <w:rFonts w:ascii="宋体" w:hAnsi="宋体" w:cs="宋体"/>
          <w:szCs w:val="21"/>
        </w:rPr>
        <w:t>3</w:t>
      </w:r>
      <w:r>
        <w:rPr>
          <w:rFonts w:hint="eastAsia" w:ascii="宋体" w:hAnsi="宋体" w:cs="宋体"/>
          <w:szCs w:val="21"/>
        </w:rPr>
        <w:t>在履约保证金退还日期前，若成交供应商的开户名称、开户银行、帐号有变动的，请以书面形式通知履约保证金收取单位，否则由此产生的后果由成交供应商自行承担。</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29</w:t>
      </w:r>
      <w:r>
        <w:rPr>
          <w:rFonts w:hint="eastAsia" w:ascii="宋体" w:hAnsi="宋体" w:cs="宋体"/>
          <w:szCs w:val="21"/>
        </w:rPr>
        <w:t>.签订合同</w:t>
      </w:r>
    </w:p>
    <w:p>
      <w:pPr>
        <w:spacing w:line="380" w:lineRule="exact"/>
        <w:ind w:firstLine="424" w:firstLineChars="202"/>
        <w:textAlignment w:val="baseline"/>
        <w:rPr>
          <w:rFonts w:ascii="宋体" w:hAnsi="宋体" w:cs="宋体"/>
          <w:sz w:val="20"/>
          <w:szCs w:val="21"/>
        </w:rPr>
      </w:pPr>
      <w:r>
        <w:rPr>
          <w:rFonts w:hint="eastAsia" w:ascii="宋体" w:hAnsi="宋体" w:cs="宋体"/>
          <w:szCs w:val="21"/>
          <w:lang w:val="en-US" w:eastAsia="zh-CN"/>
        </w:rPr>
        <w:t>29</w:t>
      </w:r>
      <w:r>
        <w:rPr>
          <w:rFonts w:ascii="宋体" w:hAnsi="宋体" w:cs="宋体"/>
          <w:szCs w:val="21"/>
        </w:rPr>
        <w:t>.1</w:t>
      </w:r>
      <w:r>
        <w:rPr>
          <w:rFonts w:hint="eastAsia" w:ascii="宋体" w:hAnsi="宋体" w:cs="宋体"/>
          <w:szCs w:val="21"/>
        </w:rPr>
        <w:t>成交供应商在收到成交通知书后，应当在签订合同时向采购人出示相关证明材料，具体内容详见 “供应商须知前附表”，经采购人核验合格后方可签订合同。</w:t>
      </w:r>
    </w:p>
    <w:p>
      <w:pPr>
        <w:spacing w:line="380" w:lineRule="exact"/>
        <w:ind w:firstLine="424" w:firstLineChars="202"/>
        <w:textAlignment w:val="baseline"/>
        <w:rPr>
          <w:rFonts w:ascii="宋体" w:hAnsi="宋体" w:cs="宋体"/>
          <w:sz w:val="20"/>
          <w:szCs w:val="21"/>
        </w:rPr>
      </w:pPr>
      <w:r>
        <w:rPr>
          <w:rFonts w:hint="eastAsia" w:ascii="宋体" w:hAnsi="宋体" w:cs="宋体"/>
          <w:szCs w:val="21"/>
          <w:lang w:val="en-US" w:eastAsia="zh-CN"/>
        </w:rPr>
        <w:t>29</w:t>
      </w:r>
      <w:r>
        <w:rPr>
          <w:rFonts w:hint="eastAsia" w:ascii="宋体" w:hAnsi="宋体" w:cs="宋体"/>
          <w:szCs w:val="21"/>
        </w:rPr>
        <w:t>.2 签订合同时间：按成交通知书规定的时间与采购人签订采购合同。</w:t>
      </w:r>
    </w:p>
    <w:p>
      <w:pPr>
        <w:spacing w:line="380" w:lineRule="exact"/>
        <w:ind w:firstLine="424" w:firstLineChars="202"/>
        <w:textAlignment w:val="baseline"/>
        <w:rPr>
          <w:rFonts w:ascii="宋体" w:hAnsi="宋体" w:cs="宋体"/>
          <w:sz w:val="20"/>
          <w:szCs w:val="21"/>
        </w:rPr>
      </w:pPr>
      <w:r>
        <w:rPr>
          <w:rFonts w:hint="eastAsia" w:ascii="宋体" w:hAnsi="宋体" w:cs="宋体"/>
          <w:szCs w:val="21"/>
          <w:lang w:val="en-US" w:eastAsia="zh-CN"/>
        </w:rPr>
        <w:t>29</w:t>
      </w:r>
      <w:r>
        <w:rPr>
          <w:rFonts w:hint="eastAsia" w:ascii="宋体" w:hAnsi="宋体" w:cs="宋体"/>
          <w:szCs w:val="21"/>
        </w:rPr>
        <w:t>.成交供应商拒绝与采购人签订合同的，采购人可以按照评审报告推荐的成交候选人名单排序，确定下一候选人为成交供应商，也可以重新开展采购活动。拒绝签订采购合同的成交供应商不得参加对该合同项重新开展的采购活动。</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3</w:t>
      </w:r>
      <w:r>
        <w:rPr>
          <w:rFonts w:hint="eastAsia" w:ascii="宋体" w:hAnsi="宋体" w:cs="宋体"/>
          <w:szCs w:val="21"/>
          <w:lang w:val="en-US" w:eastAsia="zh-CN"/>
        </w:rPr>
        <w:t>0</w:t>
      </w:r>
      <w:r>
        <w:rPr>
          <w:rFonts w:hint="eastAsia" w:ascii="宋体" w:hAnsi="宋体" w:cs="宋体"/>
          <w:szCs w:val="21"/>
        </w:rPr>
        <w:t>.适用法律</w:t>
      </w:r>
    </w:p>
    <w:p>
      <w:pPr>
        <w:tabs>
          <w:tab w:val="left" w:pos="2835"/>
        </w:tabs>
        <w:spacing w:line="380" w:lineRule="exact"/>
        <w:ind w:firstLine="420" w:firstLineChars="200"/>
        <w:textAlignment w:val="baseline"/>
        <w:rPr>
          <w:rFonts w:ascii="宋体" w:hAnsi="宋体" w:cs="宋体"/>
          <w:sz w:val="20"/>
          <w:szCs w:val="21"/>
        </w:rPr>
      </w:pPr>
      <w:r>
        <w:rPr>
          <w:rFonts w:hint="eastAsia" w:ascii="宋体" w:hAnsi="宋体" w:cs="宋体"/>
          <w:szCs w:val="21"/>
        </w:rPr>
        <w:t>本项目适用于法律、法规有关规定。</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3</w:t>
      </w:r>
      <w:r>
        <w:rPr>
          <w:rFonts w:hint="eastAsia" w:ascii="宋体" w:hAnsi="宋体" w:cs="宋体"/>
          <w:szCs w:val="21"/>
          <w:lang w:val="en-US" w:eastAsia="zh-CN"/>
        </w:rPr>
        <w:t>1</w:t>
      </w:r>
      <w:r>
        <w:rPr>
          <w:rFonts w:hint="eastAsia" w:ascii="宋体" w:hAnsi="宋体" w:cs="宋体"/>
          <w:szCs w:val="21"/>
        </w:rPr>
        <w:t>.其它内容</w:t>
      </w:r>
    </w:p>
    <w:p>
      <w:pPr>
        <w:tabs>
          <w:tab w:val="left" w:pos="2835"/>
        </w:tabs>
        <w:spacing w:line="380" w:lineRule="exact"/>
        <w:ind w:firstLine="420" w:firstLineChars="200"/>
        <w:textAlignment w:val="baseline"/>
        <w:rPr>
          <w:rFonts w:ascii="宋体" w:hAnsi="宋体" w:cs="宋体"/>
          <w:sz w:val="20"/>
          <w:szCs w:val="21"/>
        </w:rPr>
      </w:pPr>
      <w:r>
        <w:rPr>
          <w:rFonts w:hint="eastAsia" w:ascii="宋体" w:hAnsi="宋体" w:cs="宋体"/>
          <w:szCs w:val="21"/>
        </w:rPr>
        <w:t>本项目</w:t>
      </w:r>
      <w:r>
        <w:rPr>
          <w:rFonts w:hint="eastAsia" w:ascii="宋体" w:hAnsi="宋体" w:cs="宋体"/>
          <w:szCs w:val="21"/>
          <w:lang w:val="en-US" w:eastAsia="zh-CN"/>
        </w:rPr>
        <w:t>无</w:t>
      </w:r>
      <w:r>
        <w:rPr>
          <w:rFonts w:hint="eastAsia" w:ascii="宋体" w:hAnsi="宋体" w:cs="宋体"/>
          <w:szCs w:val="21"/>
        </w:rPr>
        <w:t>代理服务收费。</w:t>
      </w:r>
    </w:p>
    <w:p>
      <w:pPr>
        <w:spacing w:line="380" w:lineRule="exact"/>
        <w:ind w:firstLine="420" w:firstLineChars="200"/>
        <w:textAlignment w:val="baseline"/>
        <w:rPr>
          <w:rFonts w:ascii="宋体" w:hAnsi="宋体" w:cs="宋体"/>
          <w:sz w:val="20"/>
          <w:szCs w:val="24"/>
        </w:rPr>
      </w:pPr>
      <w:r>
        <w:rPr>
          <w:rFonts w:hint="eastAsia" w:ascii="宋体" w:hAnsi="宋体" w:cs="宋体"/>
          <w:szCs w:val="24"/>
        </w:rPr>
        <w:t>3</w:t>
      </w:r>
      <w:r>
        <w:rPr>
          <w:rFonts w:hint="eastAsia" w:ascii="宋体" w:hAnsi="宋体" w:cs="宋体"/>
          <w:szCs w:val="24"/>
          <w:lang w:val="en-US" w:eastAsia="zh-CN"/>
        </w:rPr>
        <w:t>2</w:t>
      </w:r>
      <w:r>
        <w:rPr>
          <w:rFonts w:hint="eastAsia" w:ascii="宋体" w:hAnsi="宋体" w:cs="宋体"/>
          <w:szCs w:val="24"/>
        </w:rPr>
        <w:t>. 询问、质疑和投诉</w:t>
      </w:r>
    </w:p>
    <w:p>
      <w:pPr>
        <w:spacing w:line="380" w:lineRule="exact"/>
        <w:ind w:firstLine="420" w:firstLineChars="200"/>
        <w:textAlignment w:val="baseline"/>
        <w:rPr>
          <w:rFonts w:ascii="宋体" w:hAnsi="宋体" w:cs="宋体"/>
          <w:sz w:val="20"/>
          <w:szCs w:val="24"/>
        </w:rPr>
      </w:pPr>
      <w:r>
        <w:rPr>
          <w:rFonts w:hint="eastAsia" w:ascii="宋体" w:hAnsi="宋体" w:cs="宋体"/>
          <w:szCs w:val="24"/>
        </w:rPr>
        <w:t>3</w:t>
      </w:r>
      <w:r>
        <w:rPr>
          <w:rFonts w:hint="eastAsia" w:ascii="宋体" w:hAnsi="宋体" w:cs="宋体"/>
          <w:szCs w:val="24"/>
          <w:lang w:val="en-US" w:eastAsia="zh-CN"/>
        </w:rPr>
        <w:t>2</w:t>
      </w:r>
      <w:r>
        <w:rPr>
          <w:rFonts w:hint="eastAsia" w:ascii="宋体" w:hAnsi="宋体" w:cs="宋体"/>
          <w:szCs w:val="24"/>
        </w:rPr>
        <w:t>.1供应商对采购活动事项有疑问的，可以向采购人提出询问，采购人应当在3个工作日内对供应商依法提出的询问作出答复。</w:t>
      </w:r>
    </w:p>
    <w:p>
      <w:pPr>
        <w:spacing w:line="380" w:lineRule="exact"/>
        <w:ind w:firstLine="420" w:firstLineChars="200"/>
        <w:textAlignment w:val="baseline"/>
        <w:rPr>
          <w:rFonts w:ascii="宋体" w:hAnsi="宋体" w:cs="宋体"/>
          <w:sz w:val="20"/>
          <w:szCs w:val="24"/>
        </w:rPr>
      </w:pPr>
      <w:r>
        <w:rPr>
          <w:rFonts w:hint="eastAsia" w:ascii="宋体" w:hAnsi="宋体" w:cs="宋体"/>
          <w:szCs w:val="24"/>
        </w:rPr>
        <w:t>3</w:t>
      </w:r>
      <w:r>
        <w:rPr>
          <w:rFonts w:hint="eastAsia" w:ascii="宋体" w:hAnsi="宋体" w:cs="宋体"/>
          <w:szCs w:val="24"/>
          <w:lang w:val="en-US" w:eastAsia="zh-CN"/>
        </w:rPr>
        <w:t>2</w:t>
      </w:r>
      <w:r>
        <w:rPr>
          <w:rFonts w:hint="eastAsia" w:ascii="宋体" w:hAnsi="宋体" w:cs="宋体"/>
          <w:szCs w:val="24"/>
        </w:rPr>
        <w:t>.2供应商认为竞争性磋商文件、采购过程或成交结果使自己的合法权益受到损害的，应当在知道或者应知其权益受到损害之日起3个工作日内，以书面形式向采购人提出质疑，</w:t>
      </w:r>
      <w:r>
        <w:rPr>
          <w:rFonts w:ascii="Arial" w:hAnsi="Arial" w:cs="Arial"/>
          <w:szCs w:val="24"/>
          <w:shd w:val="clear" w:color="auto" w:fill="FFFFFF"/>
        </w:rPr>
        <w:t>接收质疑函的方式、联系部门、联系电话和通讯地址等信息</w:t>
      </w:r>
      <w:r>
        <w:rPr>
          <w:rFonts w:hint="eastAsia" w:ascii="Arial" w:hAnsi="Arial" w:cs="Arial"/>
          <w:szCs w:val="24"/>
          <w:shd w:val="clear" w:color="auto" w:fill="FFFFFF"/>
        </w:rPr>
        <w:t>详见</w:t>
      </w:r>
      <w:r>
        <w:rPr>
          <w:rFonts w:hint="eastAsia" w:ascii="宋体" w:hAnsi="宋体" w:cs="宋体"/>
          <w:szCs w:val="21"/>
        </w:rPr>
        <w:t>“供应商须知前附表”</w:t>
      </w:r>
      <w:r>
        <w:rPr>
          <w:rFonts w:hint="eastAsia" w:ascii="宋体" w:hAnsi="宋体" w:cs="宋体"/>
          <w:szCs w:val="24"/>
        </w:rPr>
        <w:t>。具体质疑起算时间如下：</w:t>
      </w:r>
    </w:p>
    <w:p>
      <w:pPr>
        <w:spacing w:line="380" w:lineRule="exact"/>
        <w:ind w:firstLine="420" w:firstLineChars="200"/>
        <w:textAlignment w:val="baseline"/>
        <w:rPr>
          <w:rFonts w:ascii="宋体" w:hAnsi="宋体" w:cs="宋体"/>
          <w:sz w:val="20"/>
          <w:szCs w:val="24"/>
        </w:rPr>
      </w:pPr>
      <w:r>
        <w:rPr>
          <w:rFonts w:hint="eastAsia" w:ascii="宋体" w:hAnsi="宋体" w:cs="宋体"/>
          <w:szCs w:val="24"/>
        </w:rPr>
        <w:t>（1）对可以质疑的竞争性磋商文件提出质疑的，为收到竞争性磋商文件之日或</w:t>
      </w:r>
      <w:r>
        <w:rPr>
          <w:rFonts w:hint="eastAsia" w:ascii="Times New Roman" w:hAnsi="Times New Roman"/>
          <w:szCs w:val="24"/>
        </w:rPr>
        <w:t>竞争性磋商公告期限届满之日</w:t>
      </w:r>
      <w:r>
        <w:rPr>
          <w:rFonts w:hint="eastAsia" w:ascii="宋体" w:hAnsi="宋体" w:cs="宋体"/>
          <w:szCs w:val="24"/>
        </w:rPr>
        <w:t>；</w:t>
      </w:r>
    </w:p>
    <w:p>
      <w:pPr>
        <w:spacing w:line="380" w:lineRule="exact"/>
        <w:ind w:firstLine="420" w:firstLineChars="200"/>
        <w:textAlignment w:val="baseline"/>
        <w:rPr>
          <w:rFonts w:ascii="宋体" w:hAnsi="宋体" w:cs="宋体"/>
          <w:sz w:val="20"/>
          <w:szCs w:val="24"/>
        </w:rPr>
      </w:pPr>
      <w:r>
        <w:rPr>
          <w:rFonts w:hint="eastAsia" w:ascii="宋体" w:hAnsi="宋体" w:cs="宋体"/>
          <w:szCs w:val="24"/>
        </w:rPr>
        <w:t>（2）对采购过程提出质疑的，为各采购程序环节结束之日；</w:t>
      </w:r>
    </w:p>
    <w:p>
      <w:pPr>
        <w:spacing w:line="380" w:lineRule="exact"/>
        <w:ind w:firstLine="420" w:firstLineChars="200"/>
        <w:textAlignment w:val="baseline"/>
        <w:rPr>
          <w:rFonts w:ascii="宋体" w:hAnsi="宋体" w:cs="宋体"/>
          <w:sz w:val="20"/>
          <w:szCs w:val="24"/>
        </w:rPr>
      </w:pPr>
      <w:r>
        <w:rPr>
          <w:rFonts w:hint="eastAsia" w:ascii="宋体" w:hAnsi="宋体" w:cs="宋体"/>
          <w:szCs w:val="24"/>
        </w:rPr>
        <w:t>（3）对成交结果提出质疑的，为成交结果公告期限届满之日。</w:t>
      </w:r>
    </w:p>
    <w:p>
      <w:pPr>
        <w:spacing w:line="380" w:lineRule="exact"/>
        <w:ind w:firstLine="420" w:firstLineChars="200"/>
        <w:textAlignment w:val="baseline"/>
        <w:rPr>
          <w:rFonts w:ascii="宋体" w:hAnsi="宋体" w:cs="宋体"/>
          <w:sz w:val="20"/>
          <w:szCs w:val="24"/>
        </w:rPr>
      </w:pPr>
      <w:r>
        <w:rPr>
          <w:rFonts w:hint="eastAsia" w:ascii="宋体" w:hAnsi="宋体" w:cs="宋体"/>
          <w:szCs w:val="24"/>
        </w:rPr>
        <w:t>供应商对采购人的质疑答复不满意或者采购人未在规定时间内作出答复的，可以在答复期满后十五个工作日内向同级采购监管部门投诉。</w:t>
      </w:r>
    </w:p>
    <w:p>
      <w:pPr>
        <w:spacing w:line="380" w:lineRule="exact"/>
        <w:ind w:firstLine="420" w:firstLineChars="200"/>
        <w:textAlignment w:val="baseline"/>
        <w:rPr>
          <w:rFonts w:ascii="宋体" w:hAnsi="宋体" w:cs="宋体"/>
          <w:sz w:val="20"/>
          <w:szCs w:val="24"/>
        </w:rPr>
      </w:pPr>
      <w:r>
        <w:rPr>
          <w:rFonts w:hint="eastAsia" w:ascii="宋体" w:hAnsi="宋体" w:cs="宋体"/>
          <w:szCs w:val="24"/>
        </w:rPr>
        <w:t>3</w:t>
      </w:r>
      <w:r>
        <w:rPr>
          <w:rFonts w:hint="eastAsia" w:ascii="宋体" w:hAnsi="宋体" w:cs="宋体"/>
          <w:szCs w:val="24"/>
          <w:lang w:val="en-US" w:eastAsia="zh-CN"/>
        </w:rPr>
        <w:t>2</w:t>
      </w:r>
      <w:r>
        <w:rPr>
          <w:rFonts w:hint="eastAsia" w:ascii="宋体" w:hAnsi="宋体" w:cs="宋体"/>
          <w:szCs w:val="24"/>
        </w:rPr>
        <w:t>.3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pPr>
        <w:spacing w:line="380" w:lineRule="exact"/>
        <w:ind w:firstLine="420" w:firstLineChars="200"/>
        <w:textAlignment w:val="baseline"/>
        <w:rPr>
          <w:rFonts w:ascii="宋体" w:hAnsi="宋体" w:cs="宋体"/>
          <w:sz w:val="20"/>
          <w:szCs w:val="24"/>
        </w:rPr>
      </w:pPr>
      <w:r>
        <w:rPr>
          <w:rFonts w:hint="eastAsia" w:ascii="宋体" w:hAnsi="宋体" w:cs="宋体"/>
          <w:szCs w:val="24"/>
        </w:rPr>
        <w:t>供应商提出质疑应当提交质疑函和必要的证明材料，针对同一采购程序环节的质疑必须在法定质疑期内一次性提出。质疑函应当包括下列内容：</w:t>
      </w:r>
    </w:p>
    <w:p>
      <w:pPr>
        <w:spacing w:line="380" w:lineRule="exact"/>
        <w:ind w:firstLine="420" w:firstLineChars="200"/>
        <w:textAlignment w:val="baseline"/>
        <w:rPr>
          <w:rFonts w:ascii="宋体" w:hAnsi="宋体" w:cs="宋体"/>
          <w:sz w:val="20"/>
          <w:szCs w:val="24"/>
        </w:rPr>
      </w:pPr>
      <w:r>
        <w:rPr>
          <w:rFonts w:hint="eastAsia" w:ascii="宋体" w:hAnsi="宋体" w:cs="宋体"/>
          <w:szCs w:val="24"/>
        </w:rPr>
        <w:t>（1）供应商的姓名或者名称、地址、邮编、联系人及联系电话；</w:t>
      </w:r>
    </w:p>
    <w:p>
      <w:pPr>
        <w:spacing w:line="380" w:lineRule="exact"/>
        <w:ind w:firstLine="420" w:firstLineChars="200"/>
        <w:textAlignment w:val="baseline"/>
        <w:rPr>
          <w:rFonts w:ascii="宋体" w:hAnsi="宋体" w:cs="宋体"/>
          <w:sz w:val="20"/>
          <w:szCs w:val="24"/>
        </w:rPr>
      </w:pPr>
      <w:r>
        <w:rPr>
          <w:rFonts w:hint="eastAsia" w:ascii="宋体" w:hAnsi="宋体" w:cs="宋体"/>
          <w:szCs w:val="24"/>
        </w:rPr>
        <w:t>（2）质疑项目的名称、编号；</w:t>
      </w:r>
    </w:p>
    <w:p>
      <w:pPr>
        <w:spacing w:line="380" w:lineRule="exact"/>
        <w:ind w:firstLine="420" w:firstLineChars="200"/>
        <w:textAlignment w:val="baseline"/>
        <w:rPr>
          <w:rFonts w:ascii="宋体" w:hAnsi="宋体" w:cs="宋体"/>
          <w:sz w:val="20"/>
          <w:szCs w:val="24"/>
        </w:rPr>
      </w:pPr>
      <w:r>
        <w:rPr>
          <w:rFonts w:hint="eastAsia" w:ascii="宋体" w:hAnsi="宋体" w:cs="宋体"/>
          <w:szCs w:val="24"/>
        </w:rPr>
        <w:t>（3）具体、明确的质疑事项和与质疑事项相关的请求；</w:t>
      </w:r>
    </w:p>
    <w:p>
      <w:pPr>
        <w:spacing w:line="380" w:lineRule="exact"/>
        <w:ind w:firstLine="420" w:firstLineChars="200"/>
        <w:textAlignment w:val="baseline"/>
        <w:rPr>
          <w:rFonts w:ascii="宋体" w:hAnsi="宋体" w:cs="宋体"/>
          <w:sz w:val="20"/>
          <w:szCs w:val="24"/>
        </w:rPr>
      </w:pPr>
      <w:r>
        <w:rPr>
          <w:rFonts w:hint="eastAsia" w:ascii="宋体" w:hAnsi="宋体" w:cs="宋体"/>
          <w:szCs w:val="24"/>
        </w:rPr>
        <w:t>（4）事实依据；</w:t>
      </w:r>
    </w:p>
    <w:p>
      <w:pPr>
        <w:spacing w:line="380" w:lineRule="exact"/>
        <w:ind w:firstLine="420" w:firstLineChars="200"/>
        <w:textAlignment w:val="baseline"/>
        <w:rPr>
          <w:rFonts w:ascii="宋体" w:hAnsi="宋体" w:cs="宋体"/>
          <w:sz w:val="20"/>
          <w:szCs w:val="24"/>
        </w:rPr>
      </w:pPr>
      <w:r>
        <w:rPr>
          <w:rFonts w:hint="eastAsia" w:ascii="宋体" w:hAnsi="宋体" w:cs="宋体"/>
          <w:szCs w:val="24"/>
        </w:rPr>
        <w:t>（5）必要的法律依据；</w:t>
      </w:r>
    </w:p>
    <w:p>
      <w:pPr>
        <w:spacing w:line="380" w:lineRule="exact"/>
        <w:ind w:firstLine="420" w:firstLineChars="200"/>
        <w:textAlignment w:val="baseline"/>
        <w:rPr>
          <w:rFonts w:ascii="宋体" w:hAnsi="宋体" w:cs="宋体"/>
          <w:sz w:val="20"/>
          <w:szCs w:val="24"/>
        </w:rPr>
      </w:pPr>
      <w:r>
        <w:rPr>
          <w:rFonts w:hint="eastAsia" w:ascii="宋体" w:hAnsi="宋体" w:cs="宋体"/>
          <w:szCs w:val="24"/>
        </w:rPr>
        <w:t>（6）提出质疑的日期。</w:t>
      </w:r>
    </w:p>
    <w:p>
      <w:pPr>
        <w:spacing w:line="380" w:lineRule="exact"/>
        <w:ind w:firstLine="420" w:firstLineChars="200"/>
        <w:textAlignment w:val="baseline"/>
        <w:rPr>
          <w:rFonts w:ascii="宋体" w:hAnsi="宋体" w:cs="宋体"/>
          <w:sz w:val="20"/>
          <w:szCs w:val="24"/>
        </w:rPr>
      </w:pPr>
      <w:r>
        <w:rPr>
          <w:rFonts w:hint="eastAsia" w:ascii="宋体" w:hAnsi="宋体" w:cs="宋体"/>
          <w:szCs w:val="24"/>
        </w:rPr>
        <w:t>供应商为自然人的，应当由本人签字；供应商为法人或者其他组织的，应当由法定代表人、主要负责人，或者其委托代理人签字或者盖章，并加盖公章。</w:t>
      </w:r>
    </w:p>
    <w:p>
      <w:pPr>
        <w:spacing w:line="380" w:lineRule="exact"/>
        <w:ind w:firstLine="420" w:firstLineChars="200"/>
        <w:textAlignment w:val="baseline"/>
        <w:rPr>
          <w:rFonts w:ascii="宋体" w:hAnsi="宋体" w:cs="宋体"/>
          <w:sz w:val="20"/>
          <w:szCs w:val="24"/>
        </w:rPr>
      </w:pPr>
      <w:r>
        <w:rPr>
          <w:rFonts w:hint="eastAsia" w:ascii="宋体" w:hAnsi="宋体" w:cs="宋体"/>
          <w:szCs w:val="24"/>
        </w:rPr>
        <w:t>3</w:t>
      </w:r>
      <w:r>
        <w:rPr>
          <w:rFonts w:hint="eastAsia" w:ascii="宋体" w:hAnsi="宋体" w:cs="宋体"/>
          <w:szCs w:val="24"/>
          <w:lang w:val="en-US" w:eastAsia="zh-CN"/>
        </w:rPr>
        <w:t>2</w:t>
      </w:r>
      <w:r>
        <w:rPr>
          <w:rFonts w:ascii="宋体" w:hAnsi="宋体" w:cs="宋体"/>
          <w:szCs w:val="24"/>
        </w:rPr>
        <w:t>.</w:t>
      </w:r>
      <w:r>
        <w:rPr>
          <w:rFonts w:hint="eastAsia" w:ascii="宋体" w:hAnsi="宋体" w:cs="宋体"/>
          <w:szCs w:val="24"/>
          <w:lang w:val="en-US" w:eastAsia="zh-CN"/>
        </w:rPr>
        <w:t>4</w:t>
      </w:r>
      <w:r>
        <w:rPr>
          <w:rFonts w:hint="eastAsia" w:ascii="宋体" w:hAnsi="宋体" w:cs="宋体"/>
          <w:szCs w:val="24"/>
        </w:rPr>
        <w:t>采购人认为供应商质疑不成立，或者成立但未对成交结果构成影响的，继续开展采购活动；认为供应商质疑成立且影响或者可能影响成交结果的，按照下列情况处理：</w:t>
      </w:r>
    </w:p>
    <w:p>
      <w:pPr>
        <w:spacing w:line="380" w:lineRule="exact"/>
        <w:ind w:firstLine="420" w:firstLineChars="200"/>
        <w:textAlignment w:val="baseline"/>
        <w:rPr>
          <w:rFonts w:ascii="宋体" w:hAnsi="宋体" w:cs="宋体"/>
          <w:sz w:val="20"/>
          <w:szCs w:val="24"/>
        </w:rPr>
      </w:pPr>
      <w:r>
        <w:rPr>
          <w:rFonts w:hint="eastAsia" w:ascii="宋体" w:hAnsi="宋体" w:cs="宋体"/>
          <w:szCs w:val="24"/>
        </w:rPr>
        <w:t>（1）对竞争性磋商文件提出的质疑，依法通过澄清或者修改可以继续开展采购活动的，澄清或者修改竞争性磋商文件后继续开展采购活动；否则应当在修改竞争性磋商文件后重新开展采购活动。</w:t>
      </w:r>
    </w:p>
    <w:p>
      <w:pPr>
        <w:spacing w:line="380" w:lineRule="exact"/>
        <w:ind w:firstLine="420" w:firstLineChars="200"/>
        <w:textAlignment w:val="baseline"/>
        <w:rPr>
          <w:rFonts w:ascii="宋体" w:hAnsi="宋体" w:cs="Courier New"/>
          <w:kern w:val="0"/>
          <w:sz w:val="20"/>
          <w:szCs w:val="21"/>
        </w:rPr>
      </w:pPr>
      <w:r>
        <w:rPr>
          <w:rFonts w:hint="eastAsia" w:ascii="宋体" w:hAnsi="宋体" w:cs="宋体"/>
          <w:szCs w:val="24"/>
        </w:rPr>
        <w:t>（2）对采购过程、成交结果提出的质疑，合格供应商符合法定数量时，可以从合格的成交候选人中另行确定成交供应商的，应当依法另行确定成交供应商；否则应当重新开展采购活动。</w:t>
      </w:r>
    </w:p>
    <w:p>
      <w:pPr>
        <w:widowControl/>
        <w:jc w:val="left"/>
        <w:rPr>
          <w:rFonts w:ascii="黑体" w:hAnsi="黑体" w:eastAsia="黑体" w:cs="黑体"/>
          <w:bCs/>
          <w:kern w:val="0"/>
          <w:sz w:val="32"/>
          <w:szCs w:val="32"/>
        </w:rPr>
      </w:pPr>
      <w:r>
        <w:rPr>
          <w:rFonts w:ascii="黑体" w:hAnsi="黑体" w:eastAsia="黑体" w:cs="黑体"/>
          <w:bCs/>
          <w:kern w:val="0"/>
          <w:sz w:val="32"/>
          <w:szCs w:val="32"/>
        </w:rPr>
        <w:br w:type="page"/>
      </w:r>
    </w:p>
    <w:p>
      <w:pPr>
        <w:snapToGrid w:val="0"/>
        <w:textAlignment w:val="baseline"/>
        <w:rPr>
          <w:rFonts w:hAnsi="宋体"/>
          <w:b/>
          <w:sz w:val="32"/>
          <w:szCs w:val="32"/>
        </w:rPr>
      </w:pPr>
    </w:p>
    <w:p>
      <w:pPr>
        <w:pStyle w:val="4"/>
        <w:keepLines w:val="0"/>
        <w:spacing w:line="415" w:lineRule="auto"/>
        <w:jc w:val="center"/>
        <w:textAlignment w:val="baseline"/>
      </w:pPr>
      <w:bookmarkStart w:id="23" w:name="_Toc47625224"/>
      <w:r>
        <w:rPr>
          <w:rFonts w:hint="eastAsia"/>
        </w:rPr>
        <w:t>第三章项目需求</w:t>
      </w:r>
      <w:bookmarkEnd w:id="23"/>
    </w:p>
    <w:p>
      <w:pPr>
        <w:spacing w:line="400" w:lineRule="exact"/>
        <w:jc w:val="left"/>
        <w:textAlignment w:val="baseline"/>
        <w:rPr>
          <w:rFonts w:ascii="宋体" w:hAnsi="宋体"/>
          <w:sz w:val="20"/>
          <w:szCs w:val="21"/>
        </w:rPr>
      </w:pPr>
      <w:r>
        <w:rPr>
          <w:rFonts w:hint="eastAsia" w:ascii="宋体" w:hAnsi="宋体"/>
          <w:szCs w:val="21"/>
        </w:rPr>
        <w:t>说明：</w:t>
      </w:r>
    </w:p>
    <w:p>
      <w:pPr>
        <w:spacing w:line="400" w:lineRule="exact"/>
        <w:ind w:firstLine="424" w:firstLineChars="202"/>
        <w:jc w:val="left"/>
        <w:textAlignment w:val="baseline"/>
        <w:rPr>
          <w:rFonts w:ascii="宋体" w:hAnsi="宋体"/>
          <w:sz w:val="20"/>
          <w:szCs w:val="21"/>
        </w:rPr>
      </w:pPr>
      <w:r>
        <w:rPr>
          <w:rFonts w:hint="eastAsia" w:ascii="宋体" w:hAnsi="宋体"/>
          <w:szCs w:val="21"/>
        </w:rPr>
        <w:t>1.供应商必须自行为其竞标产品侵犯其他供应商或专利人的专利成果承担相应法律责任；同时，具有产品专利的供应商应在其响应文件中提供与其自有产品专利相关的有效证明材料，否则，不能就其产品的专利在本项目竞标过程中被侵权问题提出异议；</w:t>
      </w:r>
    </w:p>
    <w:p>
      <w:pPr>
        <w:spacing w:line="400" w:lineRule="exact"/>
        <w:ind w:firstLine="424" w:firstLineChars="202"/>
        <w:jc w:val="left"/>
        <w:textAlignment w:val="baseline"/>
        <w:rPr>
          <w:rFonts w:ascii="宋体" w:hAnsi="宋体"/>
          <w:sz w:val="20"/>
          <w:szCs w:val="21"/>
        </w:rPr>
      </w:pPr>
      <w:r>
        <w:rPr>
          <w:rFonts w:hint="eastAsia" w:ascii="宋体" w:hAnsi="宋体"/>
          <w:szCs w:val="21"/>
        </w:rPr>
        <w:t>2.项目采购需求具有国家或其他强制性标准、规范等要求的，响应文件中必须提供相关强制性认证资料，否则磋商无效。</w:t>
      </w:r>
    </w:p>
    <w:tbl>
      <w:tblPr>
        <w:tblStyle w:val="51"/>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6"/>
        <w:gridCol w:w="426"/>
        <w:gridCol w:w="7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76" w:type="dxa"/>
            <w:gridSpan w:val="4"/>
            <w:vAlign w:val="center"/>
          </w:tcPr>
          <w:p>
            <w:pPr>
              <w:spacing w:line="240" w:lineRule="atLeast"/>
              <w:rPr>
                <w:rFonts w:ascii="宋体" w:hAnsi="宋体"/>
                <w:b/>
                <w:szCs w:val="21"/>
              </w:rPr>
            </w:pPr>
            <w:r>
              <w:rPr>
                <w:rFonts w:hint="eastAsia" w:ascii="宋体" w:hAnsi="宋体"/>
                <w:b/>
                <w:szCs w:val="21"/>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6" w:type="dxa"/>
            <w:vAlign w:val="center"/>
          </w:tcPr>
          <w:p>
            <w:pPr>
              <w:spacing w:line="240" w:lineRule="atLeast"/>
              <w:jc w:val="center"/>
              <w:rPr>
                <w:rFonts w:ascii="宋体" w:hAnsi="宋体"/>
                <w:szCs w:val="21"/>
              </w:rPr>
            </w:pPr>
            <w:r>
              <w:rPr>
                <w:rFonts w:ascii="宋体" w:hAnsi="宋体"/>
                <w:szCs w:val="21"/>
              </w:rPr>
              <w:t>项号</w:t>
            </w:r>
          </w:p>
        </w:tc>
        <w:tc>
          <w:tcPr>
            <w:tcW w:w="426" w:type="dxa"/>
            <w:vAlign w:val="center"/>
          </w:tcPr>
          <w:p>
            <w:pPr>
              <w:spacing w:line="240" w:lineRule="atLeast"/>
              <w:jc w:val="center"/>
              <w:rPr>
                <w:rFonts w:ascii="宋体" w:hAnsi="宋体"/>
                <w:szCs w:val="21"/>
              </w:rPr>
            </w:pPr>
            <w:r>
              <w:rPr>
                <w:rFonts w:hint="eastAsia" w:ascii="宋体" w:hAnsi="宋体"/>
                <w:szCs w:val="21"/>
              </w:rPr>
              <w:t>采购内容</w:t>
            </w:r>
          </w:p>
        </w:tc>
        <w:tc>
          <w:tcPr>
            <w:tcW w:w="426" w:type="dxa"/>
            <w:vAlign w:val="center"/>
          </w:tcPr>
          <w:p>
            <w:pPr>
              <w:spacing w:line="240" w:lineRule="atLeast"/>
              <w:jc w:val="center"/>
              <w:rPr>
                <w:rFonts w:ascii="宋体" w:hAnsi="宋体"/>
                <w:szCs w:val="21"/>
              </w:rPr>
            </w:pPr>
            <w:r>
              <w:rPr>
                <w:rFonts w:ascii="宋体" w:hAnsi="宋体"/>
                <w:szCs w:val="21"/>
              </w:rPr>
              <w:t>数量</w:t>
            </w:r>
          </w:p>
        </w:tc>
        <w:tc>
          <w:tcPr>
            <w:tcW w:w="7398" w:type="dxa"/>
            <w:vAlign w:val="center"/>
          </w:tcPr>
          <w:p>
            <w:pPr>
              <w:spacing w:line="240" w:lineRule="atLeast"/>
              <w:jc w:val="center"/>
              <w:rPr>
                <w:rFonts w:ascii="宋体" w:hAnsi="宋体"/>
                <w:bCs/>
                <w:szCs w:val="21"/>
              </w:rPr>
            </w:pPr>
            <w:r>
              <w:rPr>
                <w:rFonts w:hint="eastAsia" w:ascii="宋体" w:hAnsi="宋体"/>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6" w:type="dxa"/>
            <w:vAlign w:val="center"/>
          </w:tcPr>
          <w:p>
            <w:pPr>
              <w:jc w:val="center"/>
              <w:rPr>
                <w:rFonts w:ascii="宋体" w:hAnsi="宋体" w:cs="宋体"/>
                <w:szCs w:val="21"/>
              </w:rPr>
            </w:pPr>
            <w:r>
              <w:rPr>
                <w:rFonts w:hint="eastAsia" w:ascii="宋体" w:hAnsi="宋体" w:cs="宋体"/>
                <w:szCs w:val="21"/>
              </w:rPr>
              <w:t>1</w:t>
            </w:r>
          </w:p>
        </w:tc>
        <w:tc>
          <w:tcPr>
            <w:tcW w:w="426" w:type="dxa"/>
            <w:vAlign w:val="center"/>
          </w:tcPr>
          <w:p>
            <w:pPr>
              <w:jc w:val="center"/>
              <w:rPr>
                <w:rFonts w:ascii="宋体" w:hAnsi="宋体" w:cs="宋体"/>
                <w:szCs w:val="21"/>
              </w:rPr>
            </w:pPr>
            <w:r>
              <w:rPr>
                <w:rFonts w:hint="eastAsia" w:ascii="宋体" w:hAnsi="宋体"/>
              </w:rPr>
              <w:t>会展大厦三楼食堂对外经营管理</w:t>
            </w:r>
          </w:p>
        </w:tc>
        <w:tc>
          <w:tcPr>
            <w:tcW w:w="426" w:type="dxa"/>
            <w:vAlign w:val="center"/>
          </w:tcPr>
          <w:p>
            <w:pPr>
              <w:snapToGrid w:val="0"/>
              <w:jc w:val="center"/>
              <w:rPr>
                <w:rFonts w:ascii="宋体" w:hAnsi="宋体" w:cs="Arial"/>
                <w:bCs/>
                <w:szCs w:val="21"/>
              </w:rPr>
            </w:pPr>
            <w:r>
              <w:rPr>
                <w:rFonts w:hint="eastAsia" w:ascii="宋体" w:hAnsi="宋体" w:cs="Arial"/>
                <w:bCs/>
                <w:szCs w:val="21"/>
              </w:rPr>
              <w:t>1项</w:t>
            </w:r>
          </w:p>
        </w:tc>
        <w:tc>
          <w:tcPr>
            <w:tcW w:w="7398" w:type="dxa"/>
            <w:vAlign w:val="center"/>
          </w:tcPr>
          <w:p>
            <w:pPr>
              <w:spacing w:line="336" w:lineRule="auto"/>
              <w:ind w:firstLine="422" w:firstLineChars="200"/>
              <w:jc w:val="left"/>
              <w:rPr>
                <w:rFonts w:ascii="宋体" w:hAnsi="宋体"/>
                <w:b/>
                <w:szCs w:val="21"/>
              </w:rPr>
            </w:pPr>
            <w:r>
              <w:rPr>
                <w:rFonts w:hint="eastAsia" w:ascii="宋体" w:hAnsi="宋体"/>
                <w:b/>
                <w:szCs w:val="21"/>
              </w:rPr>
              <w:t>一、食堂基本条件</w:t>
            </w:r>
          </w:p>
          <w:p>
            <w:pPr>
              <w:spacing w:line="336" w:lineRule="auto"/>
              <w:ind w:firstLine="422" w:firstLineChars="200"/>
              <w:jc w:val="left"/>
              <w:rPr>
                <w:rFonts w:ascii="宋体" w:hAnsi="宋体"/>
                <w:b/>
                <w:bCs/>
                <w:szCs w:val="21"/>
              </w:rPr>
            </w:pPr>
            <w:r>
              <w:rPr>
                <w:rFonts w:hint="eastAsia" w:ascii="宋体" w:hAnsi="宋体"/>
                <w:b/>
                <w:bCs/>
                <w:szCs w:val="21"/>
              </w:rPr>
              <w:t>（一）基本条件</w:t>
            </w:r>
          </w:p>
          <w:p>
            <w:pPr>
              <w:spacing w:line="336" w:lineRule="auto"/>
              <w:ind w:firstLine="422" w:firstLineChars="200"/>
              <w:jc w:val="left"/>
              <w:rPr>
                <w:rFonts w:ascii="宋体" w:hAnsi="宋体"/>
                <w:b/>
                <w:bCs/>
                <w:szCs w:val="21"/>
              </w:rPr>
            </w:pPr>
            <w:r>
              <w:rPr>
                <w:rFonts w:hint="eastAsia" w:ascii="宋体" w:hAnsi="宋体"/>
                <w:b/>
                <w:bCs/>
                <w:szCs w:val="21"/>
              </w:rPr>
              <w:t>本项目位于南宁市青秀区会展路18号会展大厦三楼，面积约590平方米，设有面点间、烹调间、食材储藏间、洗碗间、就餐大厅、包厢6个功能区域。其中大厅用餐区面积约300平方米，可供200人同时就餐；包厢共3个，总面积约150平方米；厨房面积约80平方米；洗碗间约60平方米。加工间、雪库、干货仓3个功能区域位于会展大厦的负二层，面积约为110平方米。</w:t>
            </w:r>
          </w:p>
          <w:p>
            <w:pPr>
              <w:spacing w:line="336" w:lineRule="auto"/>
              <w:ind w:firstLine="422" w:firstLineChars="200"/>
              <w:jc w:val="left"/>
              <w:rPr>
                <w:rFonts w:ascii="宋体" w:hAnsi="宋体"/>
                <w:b/>
                <w:bCs/>
                <w:szCs w:val="21"/>
              </w:rPr>
            </w:pPr>
            <w:r>
              <w:rPr>
                <w:rFonts w:hint="eastAsia" w:ascii="宋体" w:hAnsi="宋体"/>
                <w:b/>
                <w:bCs/>
                <w:szCs w:val="21"/>
              </w:rPr>
              <w:t>（二）设施设备</w:t>
            </w:r>
          </w:p>
          <w:p>
            <w:pPr>
              <w:spacing w:line="336" w:lineRule="auto"/>
              <w:ind w:firstLine="422" w:firstLineChars="200"/>
              <w:jc w:val="left"/>
              <w:rPr>
                <w:rFonts w:ascii="宋体" w:hAnsi="宋体"/>
                <w:b/>
                <w:bCs/>
                <w:szCs w:val="21"/>
              </w:rPr>
            </w:pPr>
            <w:r>
              <w:rPr>
                <w:rFonts w:hint="eastAsia" w:ascii="宋体" w:hAnsi="宋体" w:eastAsia="宋体" w:cs="宋体"/>
                <w:b/>
                <w:bCs/>
                <w:szCs w:val="21"/>
              </w:rPr>
              <w:t>▲</w:t>
            </w:r>
            <w:r>
              <w:rPr>
                <w:rFonts w:hint="eastAsia" w:ascii="宋体" w:hAnsi="宋体"/>
                <w:b/>
                <w:bCs/>
                <w:szCs w:val="21"/>
              </w:rPr>
              <w:t>1、采购人提供水、电、燃气、灶台等硬件配套设施，经营期间，供应商需对采购人设施进行管理维护、维修，正常耗损率外损失需协商赔偿。</w:t>
            </w:r>
          </w:p>
          <w:p>
            <w:pPr>
              <w:spacing w:line="336" w:lineRule="auto"/>
              <w:ind w:firstLine="422" w:firstLineChars="200"/>
              <w:jc w:val="left"/>
              <w:rPr>
                <w:rFonts w:ascii="宋体" w:hAnsi="宋体"/>
                <w:b/>
                <w:bCs/>
                <w:szCs w:val="21"/>
              </w:rPr>
            </w:pPr>
            <w:r>
              <w:rPr>
                <w:rFonts w:hint="eastAsia" w:ascii="宋体" w:hAnsi="宋体"/>
                <w:b/>
                <w:bCs/>
                <w:szCs w:val="21"/>
              </w:rPr>
              <w:t>2、供应商须投入资金购置餐厨用具及智能结算设备。</w:t>
            </w:r>
          </w:p>
          <w:p>
            <w:pPr>
              <w:spacing w:line="336" w:lineRule="auto"/>
              <w:ind w:firstLine="42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二、承包经营食堂基本要求</w:t>
            </w:r>
          </w:p>
          <w:p>
            <w:pPr>
              <w:widowControl/>
              <w:numPr>
                <w:ilvl w:val="255"/>
                <w:numId w:val="0"/>
              </w:numPr>
              <w:spacing w:line="336" w:lineRule="auto"/>
              <w:ind w:firstLine="422" w:firstLineChars="200"/>
              <w:jc w:val="left"/>
              <w:rPr>
                <w:rFonts w:ascii="宋体" w:hAnsi="宋体" w:cs="宋体"/>
                <w:b/>
                <w:bCs/>
                <w:szCs w:val="21"/>
              </w:rPr>
            </w:pPr>
            <w:r>
              <w:rPr>
                <w:rFonts w:hint="eastAsia" w:ascii="宋体" w:hAnsi="宋体" w:eastAsia="宋体" w:cs="宋体"/>
                <w:b/>
                <w:bCs/>
                <w:szCs w:val="21"/>
              </w:rPr>
              <w:t>▲</w:t>
            </w:r>
            <w:r>
              <w:rPr>
                <w:rFonts w:hint="eastAsia" w:ascii="宋体" w:hAnsi="宋体" w:cs="宋体"/>
                <w:b/>
                <w:bCs/>
                <w:szCs w:val="21"/>
              </w:rPr>
              <w:t>1.负责每日菜品出品及餐厅服务工作：伙食供应做到质量好、份量足、品种多，各类菜肴色、香、味俱佳，量足、形好，火候适中，做到花色品种多样，营养搭配科学合理，食材新鲜（新鲜食材当天采购，不售卖隔夜菜），保温保质。</w:t>
            </w:r>
          </w:p>
          <w:p>
            <w:pPr>
              <w:widowControl/>
              <w:numPr>
                <w:ilvl w:val="255"/>
                <w:numId w:val="0"/>
              </w:numPr>
              <w:spacing w:line="336" w:lineRule="auto"/>
              <w:ind w:firstLine="422" w:firstLineChars="200"/>
              <w:jc w:val="left"/>
              <w:rPr>
                <w:rFonts w:ascii="宋体" w:hAnsi="宋体" w:cs="宋体"/>
                <w:b/>
                <w:bCs/>
                <w:szCs w:val="21"/>
              </w:rPr>
            </w:pPr>
            <w:r>
              <w:rPr>
                <w:rFonts w:hint="eastAsia" w:ascii="宋体" w:hAnsi="宋体" w:eastAsia="宋体" w:cs="宋体"/>
                <w:b/>
                <w:bCs/>
                <w:szCs w:val="21"/>
              </w:rPr>
              <w:t>▲</w:t>
            </w:r>
            <w:r>
              <w:rPr>
                <w:rFonts w:hint="eastAsia" w:ascii="宋体" w:hAnsi="宋体" w:cs="宋体"/>
                <w:b/>
                <w:bCs/>
                <w:szCs w:val="21"/>
              </w:rPr>
              <w:t>2.负责做好日常食材采购、菜品定价、菜品品质提升等工作。</w:t>
            </w:r>
          </w:p>
          <w:p>
            <w:pPr>
              <w:widowControl/>
              <w:numPr>
                <w:ilvl w:val="255"/>
                <w:numId w:val="0"/>
              </w:numPr>
              <w:spacing w:line="336" w:lineRule="auto"/>
              <w:ind w:firstLine="422" w:firstLineChars="200"/>
              <w:jc w:val="left"/>
              <w:rPr>
                <w:rFonts w:ascii="宋体" w:hAnsi="宋体" w:cs="宋体"/>
                <w:szCs w:val="21"/>
              </w:rPr>
            </w:pPr>
            <w:r>
              <w:rPr>
                <w:rFonts w:hint="eastAsia" w:ascii="宋体" w:hAnsi="宋体" w:eastAsia="宋体" w:cs="宋体"/>
                <w:b/>
                <w:bCs/>
                <w:szCs w:val="21"/>
              </w:rPr>
              <w:t>▲</w:t>
            </w:r>
            <w:r>
              <w:rPr>
                <w:rFonts w:hint="eastAsia" w:ascii="宋体" w:hAnsi="宋体" w:cs="宋体"/>
                <w:b/>
                <w:bCs/>
                <w:color w:val="000000" w:themeColor="text1"/>
                <w:szCs w:val="21"/>
                <w14:textFill>
                  <w14:solidFill>
                    <w14:schemeClr w14:val="tx1"/>
                  </w14:solidFill>
                </w14:textFill>
              </w:rPr>
              <w:t>3.合理规划动线，控制取餐等候时间（最长取餐时间应控制在7分钟内）；可增加预订机制。</w:t>
            </w:r>
          </w:p>
          <w:p>
            <w:pPr>
              <w:widowControl/>
              <w:numPr>
                <w:ilvl w:val="255"/>
                <w:numId w:val="0"/>
              </w:numPr>
              <w:spacing w:line="336" w:lineRule="auto"/>
              <w:ind w:firstLine="422" w:firstLineChars="200"/>
              <w:jc w:val="left"/>
              <w:rPr>
                <w:rFonts w:ascii="宋体" w:hAnsi="宋体" w:cs="宋体"/>
                <w:b/>
                <w:bCs/>
                <w:color w:val="000000" w:themeColor="text1"/>
                <w:szCs w:val="21"/>
                <w14:textFill>
                  <w14:solidFill>
                    <w14:schemeClr w14:val="tx1"/>
                  </w14:solidFill>
                </w14:textFill>
              </w:rPr>
            </w:pPr>
            <w:r>
              <w:rPr>
                <w:rFonts w:hint="eastAsia" w:ascii="宋体" w:hAnsi="宋体" w:eastAsia="宋体" w:cs="宋体"/>
                <w:b/>
                <w:bCs/>
                <w:szCs w:val="21"/>
              </w:rPr>
              <w:t>▲</w:t>
            </w:r>
            <w:r>
              <w:rPr>
                <w:rFonts w:hint="eastAsia" w:ascii="宋体" w:hAnsi="宋体" w:cs="宋体"/>
                <w:b/>
                <w:bCs/>
                <w:color w:val="000000" w:themeColor="text1"/>
                <w:szCs w:val="21"/>
                <w14:textFill>
                  <w14:solidFill>
                    <w14:schemeClr w14:val="tx1"/>
                  </w14:solidFill>
                </w14:textFill>
              </w:rPr>
              <w:t>4.食堂配餐模式为点餐制。</w:t>
            </w:r>
          </w:p>
          <w:p>
            <w:pPr>
              <w:widowControl/>
              <w:numPr>
                <w:ilvl w:val="255"/>
                <w:numId w:val="0"/>
              </w:numPr>
              <w:spacing w:line="336" w:lineRule="auto"/>
              <w:ind w:firstLine="422" w:firstLineChars="200"/>
              <w:jc w:val="left"/>
              <w:rPr>
                <w:rFonts w:ascii="宋体" w:hAnsi="宋体" w:cs="宋体"/>
                <w:szCs w:val="21"/>
              </w:rPr>
            </w:pPr>
            <w:r>
              <w:rPr>
                <w:rFonts w:hint="eastAsia" w:ascii="宋体" w:hAnsi="宋体" w:eastAsia="宋体" w:cs="宋体"/>
                <w:b/>
                <w:bCs/>
                <w:szCs w:val="21"/>
              </w:rPr>
              <w:t>▲</w:t>
            </w:r>
            <w:r>
              <w:rPr>
                <w:rFonts w:hint="eastAsia" w:ascii="宋体" w:hAnsi="宋体" w:cs="宋体"/>
                <w:b/>
                <w:bCs/>
                <w:szCs w:val="21"/>
              </w:rPr>
              <w:t>5.早餐时段供应且便于打包带走的餐食至少包含7大种类（粉面类、中式包点类、西式糕点类、饮品类、粥类、禽蛋类、杂粮类）。中、晚餐时段供应至少包含8大种类（其中每餐荤菜类：3种，半荤素类：3种，素菜类：3种，主食类：2种，甜品类：2种，例汤类：2种，水果类：2种，粉面类2种），调料台全天供应小菜类：4-5种。</w:t>
            </w:r>
          </w:p>
          <w:p>
            <w:pPr>
              <w:widowControl/>
              <w:numPr>
                <w:ilvl w:val="255"/>
                <w:numId w:val="0"/>
              </w:numPr>
              <w:spacing w:line="336" w:lineRule="auto"/>
              <w:ind w:firstLine="422" w:firstLineChars="200"/>
              <w:jc w:val="left"/>
              <w:rPr>
                <w:rFonts w:ascii="宋体" w:hAnsi="宋体" w:cs="宋体"/>
                <w:b/>
                <w:bCs/>
                <w:szCs w:val="21"/>
              </w:rPr>
            </w:pPr>
            <w:r>
              <w:rPr>
                <w:rFonts w:hint="eastAsia" w:ascii="宋体" w:hAnsi="宋体" w:eastAsia="宋体" w:cs="宋体"/>
                <w:b/>
                <w:bCs/>
                <w:szCs w:val="21"/>
              </w:rPr>
              <w:t>▲</w:t>
            </w:r>
            <w:r>
              <w:rPr>
                <w:rFonts w:hint="eastAsia" w:ascii="宋体" w:hAnsi="宋体" w:cs="宋体"/>
                <w:b/>
                <w:bCs/>
                <w:szCs w:val="21"/>
              </w:rPr>
              <w:t>6.供应商应定期更换厨师团队，菜品品种每半月更新。</w:t>
            </w:r>
          </w:p>
          <w:p>
            <w:pPr>
              <w:widowControl/>
              <w:numPr>
                <w:ilvl w:val="255"/>
                <w:numId w:val="0"/>
              </w:numPr>
              <w:spacing w:line="336" w:lineRule="auto"/>
              <w:ind w:firstLine="422" w:firstLineChars="200"/>
              <w:jc w:val="left"/>
              <w:rPr>
                <w:rFonts w:ascii="宋体" w:hAnsi="宋体" w:cs="宋体"/>
                <w:b/>
                <w:bCs/>
                <w:szCs w:val="21"/>
              </w:rPr>
            </w:pPr>
            <w:r>
              <w:rPr>
                <w:rFonts w:hint="eastAsia" w:ascii="宋体" w:hAnsi="宋体" w:eastAsia="宋体" w:cs="宋体"/>
                <w:b/>
                <w:bCs/>
                <w:szCs w:val="21"/>
              </w:rPr>
              <w:t>▲</w:t>
            </w:r>
            <w:r>
              <w:rPr>
                <w:rFonts w:hint="eastAsia" w:ascii="宋体" w:hAnsi="宋体" w:cs="宋体"/>
                <w:b/>
                <w:bCs/>
                <w:szCs w:val="21"/>
              </w:rPr>
              <w:t>7.定期出品外卖熟食（含卤味、烧味、中西式包点和糕点等）。</w:t>
            </w:r>
          </w:p>
          <w:p>
            <w:pPr>
              <w:widowControl/>
              <w:numPr>
                <w:ilvl w:val="255"/>
                <w:numId w:val="0"/>
              </w:numPr>
              <w:spacing w:line="336" w:lineRule="auto"/>
              <w:ind w:firstLine="422" w:firstLineChars="200"/>
              <w:jc w:val="left"/>
              <w:rPr>
                <w:rFonts w:ascii="宋体" w:hAnsi="宋体" w:cs="宋体"/>
                <w:szCs w:val="21"/>
              </w:rPr>
            </w:pPr>
            <w:r>
              <w:rPr>
                <w:rFonts w:hint="eastAsia" w:ascii="宋体" w:hAnsi="宋体" w:eastAsia="宋体" w:cs="宋体"/>
                <w:b/>
                <w:bCs/>
                <w:szCs w:val="21"/>
              </w:rPr>
              <w:t>▲</w:t>
            </w:r>
            <w:r>
              <w:rPr>
                <w:rFonts w:hint="eastAsia" w:ascii="宋体" w:hAnsi="宋体" w:cs="宋体"/>
                <w:b/>
                <w:bCs/>
                <w:szCs w:val="21"/>
              </w:rPr>
              <w:t>8.供餐时间为工作日（早餐7：00-9：00，中餐11：30-13：00，晚餐17：30-19：</w:t>
            </w:r>
            <w:r>
              <w:rPr>
                <w:rFonts w:hint="eastAsia" w:ascii="宋体" w:hAnsi="宋体" w:cs="宋体"/>
                <w:b/>
                <w:bCs/>
                <w:szCs w:val="21"/>
                <w:lang w:val="en-US" w:eastAsia="zh-CN"/>
              </w:rPr>
              <w:t>0</w:t>
            </w:r>
            <w:r>
              <w:rPr>
                <w:rFonts w:hint="eastAsia" w:ascii="宋体" w:hAnsi="宋体" w:cs="宋体"/>
                <w:b/>
                <w:bCs/>
                <w:szCs w:val="21"/>
              </w:rPr>
              <w:t>0，如遇国家节假日或其他临时调整，以调整的为准），供应商要全力配合采购人的供餐工作，在必要时协助紧急餐饮需求，当遇到重大供餐任务时，如大型活动、接待、培训等供餐。东博会会期，供应商需配合采购人响应指挥中心的餐饮服务工作要求，确保圆满完成供餐任务，最终以采购人需求为准。</w:t>
            </w:r>
          </w:p>
          <w:p>
            <w:pPr>
              <w:widowControl/>
              <w:numPr>
                <w:ilvl w:val="255"/>
                <w:numId w:val="0"/>
              </w:numPr>
              <w:spacing w:line="336" w:lineRule="auto"/>
              <w:ind w:firstLine="422" w:firstLineChars="200"/>
              <w:jc w:val="left"/>
              <w:rPr>
                <w:rFonts w:ascii="宋体" w:hAnsi="宋体" w:cs="宋体"/>
                <w:b/>
                <w:bCs/>
                <w:szCs w:val="21"/>
              </w:rPr>
            </w:pPr>
            <w:r>
              <w:rPr>
                <w:rFonts w:hint="eastAsia" w:ascii="宋体" w:hAnsi="宋体" w:eastAsia="宋体" w:cs="宋体"/>
                <w:b/>
                <w:bCs/>
                <w:szCs w:val="21"/>
              </w:rPr>
              <w:t>▲</w:t>
            </w:r>
            <w:r>
              <w:rPr>
                <w:rFonts w:hint="eastAsia" w:ascii="宋体" w:hAnsi="宋体" w:cs="宋体"/>
                <w:b/>
                <w:bCs/>
                <w:szCs w:val="21"/>
              </w:rPr>
              <w:t>9.供应商须建立完善的管理制度、工作流程和工作计划，工作上接受采购人的监督和检查。</w:t>
            </w:r>
          </w:p>
          <w:p>
            <w:pPr>
              <w:widowControl/>
              <w:numPr>
                <w:ilvl w:val="255"/>
                <w:numId w:val="0"/>
              </w:numPr>
              <w:spacing w:line="336" w:lineRule="auto"/>
              <w:ind w:firstLine="422" w:firstLineChars="200"/>
              <w:jc w:val="left"/>
              <w:rPr>
                <w:rFonts w:ascii="宋体" w:hAnsi="宋体" w:cs="宋体"/>
                <w:b/>
                <w:bCs/>
                <w:szCs w:val="21"/>
              </w:rPr>
            </w:pPr>
            <w:r>
              <w:rPr>
                <w:rFonts w:hint="eastAsia" w:ascii="宋体" w:hAnsi="宋体" w:eastAsia="宋体" w:cs="宋体"/>
                <w:b/>
                <w:bCs/>
                <w:szCs w:val="21"/>
              </w:rPr>
              <w:t>▲</w:t>
            </w:r>
            <w:r>
              <w:rPr>
                <w:rFonts w:hint="eastAsia" w:ascii="宋体" w:hAnsi="宋体" w:cs="宋体"/>
                <w:b/>
                <w:bCs/>
                <w:szCs w:val="21"/>
              </w:rPr>
              <w:t>10.饭菜价格合理，不得高于南宁市同类企业或单位食堂饭菜平均价格。</w:t>
            </w:r>
          </w:p>
          <w:p>
            <w:pPr>
              <w:widowControl/>
              <w:numPr>
                <w:ilvl w:val="255"/>
                <w:numId w:val="0"/>
              </w:numPr>
              <w:spacing w:line="336" w:lineRule="auto"/>
              <w:ind w:firstLine="422" w:firstLineChars="200"/>
              <w:jc w:val="left"/>
              <w:rPr>
                <w:rFonts w:ascii="宋体" w:hAnsi="宋体" w:cs="宋体"/>
                <w:b/>
                <w:bCs/>
                <w:szCs w:val="21"/>
              </w:rPr>
            </w:pPr>
            <w:r>
              <w:rPr>
                <w:rFonts w:hint="eastAsia" w:ascii="宋体" w:hAnsi="宋体" w:eastAsia="宋体" w:cs="宋体"/>
                <w:b/>
                <w:bCs/>
                <w:szCs w:val="21"/>
              </w:rPr>
              <w:t>▲</w:t>
            </w:r>
            <w:r>
              <w:rPr>
                <w:rFonts w:hint="eastAsia" w:ascii="宋体" w:hAnsi="宋体" w:cs="宋体"/>
                <w:b/>
                <w:bCs/>
                <w:szCs w:val="21"/>
              </w:rPr>
              <w:t>11.小卖部品种丰富，价格适宜，不得高于周边商场平均价格。</w:t>
            </w:r>
          </w:p>
          <w:p>
            <w:pPr>
              <w:widowControl/>
              <w:numPr>
                <w:ilvl w:val="255"/>
                <w:numId w:val="0"/>
              </w:numPr>
              <w:spacing w:line="336" w:lineRule="auto"/>
              <w:ind w:firstLine="422" w:firstLineChars="200"/>
              <w:jc w:val="left"/>
              <w:rPr>
                <w:rFonts w:ascii="宋体" w:hAnsi="宋体" w:cs="宋体"/>
                <w:b/>
                <w:bCs/>
                <w:szCs w:val="21"/>
              </w:rPr>
            </w:pPr>
            <w:r>
              <w:rPr>
                <w:rFonts w:hint="eastAsia" w:ascii="宋体" w:hAnsi="宋体" w:eastAsia="宋体" w:cs="宋体"/>
                <w:b/>
                <w:bCs/>
                <w:szCs w:val="21"/>
              </w:rPr>
              <w:t>▲</w:t>
            </w:r>
            <w:r>
              <w:rPr>
                <w:rFonts w:hint="eastAsia" w:ascii="宋体" w:hAnsi="宋体" w:cs="宋体"/>
                <w:b/>
                <w:bCs/>
                <w:szCs w:val="21"/>
              </w:rPr>
              <w:t>12.采购人对包厢具有优先使用权，且享受一定折扣优惠。日常会议、公务接待、节假日加班用餐根据具体需要而定。</w:t>
            </w:r>
          </w:p>
          <w:p>
            <w:pPr>
              <w:widowControl/>
              <w:numPr>
                <w:ilvl w:val="255"/>
                <w:numId w:val="0"/>
              </w:numPr>
              <w:spacing w:line="336" w:lineRule="auto"/>
              <w:ind w:firstLine="422" w:firstLineChars="200"/>
              <w:jc w:val="left"/>
              <w:rPr>
                <w:rFonts w:ascii="宋体" w:hAnsi="宋体" w:cs="宋体"/>
                <w:b/>
                <w:bCs/>
                <w:szCs w:val="21"/>
              </w:rPr>
            </w:pPr>
            <w:r>
              <w:rPr>
                <w:rFonts w:hint="eastAsia" w:ascii="宋体" w:hAnsi="宋体" w:eastAsia="宋体" w:cs="宋体"/>
                <w:b/>
                <w:bCs/>
                <w:szCs w:val="21"/>
              </w:rPr>
              <w:t>▲</w:t>
            </w:r>
            <w:r>
              <w:rPr>
                <w:rFonts w:hint="eastAsia" w:ascii="宋体" w:hAnsi="宋体" w:cs="宋体"/>
                <w:b/>
                <w:bCs/>
                <w:szCs w:val="21"/>
              </w:rPr>
              <w:t>13.供应商负责按照政府相关部门的卫生要求对食堂内的所餐具用具进行清洗、消毒，保证符合卫生标准要求。负责食堂卫生保洁工作，确保食品卫生安全及环境整洁，负责按照相关规定做好餐厨垃圾的处理。供应商要建立健全各项管理制度，科学规范管理，确保杜绝食品安全事故的发生。</w:t>
            </w:r>
          </w:p>
          <w:p>
            <w:pPr>
              <w:widowControl/>
              <w:numPr>
                <w:ilvl w:val="255"/>
                <w:numId w:val="0"/>
              </w:numPr>
              <w:spacing w:line="336" w:lineRule="auto"/>
              <w:ind w:firstLine="422" w:firstLineChars="200"/>
              <w:jc w:val="left"/>
              <w:rPr>
                <w:rFonts w:ascii="宋体" w:hAnsi="宋体" w:cs="宋体"/>
                <w:b/>
                <w:bCs/>
                <w:szCs w:val="21"/>
              </w:rPr>
            </w:pPr>
            <w:r>
              <w:rPr>
                <w:rFonts w:hint="eastAsia" w:ascii="宋体" w:hAnsi="宋体" w:eastAsia="宋体" w:cs="宋体"/>
                <w:b/>
                <w:bCs/>
                <w:szCs w:val="21"/>
              </w:rPr>
              <w:t>▲</w:t>
            </w:r>
            <w:r>
              <w:rPr>
                <w:rFonts w:hint="eastAsia" w:ascii="宋体" w:hAnsi="宋体" w:cs="宋体"/>
                <w:b/>
                <w:bCs/>
                <w:szCs w:val="21"/>
              </w:rPr>
              <w:t>14.供应商所有进入食堂的工作人员均要先进行体检，上岗前必须接受食品卫生知识培训，取得卫生管理部门发放的《健康证》方能上岗。供应商每年要对食堂在岗人员进行健康检查，平时经常对员工进行食品安全知识教育，增强食品安全意识。</w:t>
            </w:r>
          </w:p>
          <w:p>
            <w:pPr>
              <w:widowControl/>
              <w:numPr>
                <w:ilvl w:val="255"/>
                <w:numId w:val="0"/>
              </w:numPr>
              <w:spacing w:line="336" w:lineRule="auto"/>
              <w:ind w:firstLine="420" w:firstLineChars="200"/>
              <w:jc w:val="left"/>
              <w:rPr>
                <w:rFonts w:ascii="宋体" w:hAnsi="宋体" w:cs="宋体"/>
                <w:b/>
                <w:bCs/>
                <w:szCs w:val="21"/>
              </w:rPr>
            </w:pPr>
            <w:r>
              <w:rPr>
                <w:rFonts w:hint="eastAsia" w:ascii="宋体" w:hAnsi="宋体"/>
                <w:szCs w:val="21"/>
              </w:rPr>
              <w:t>▲</w:t>
            </w:r>
            <w:r>
              <w:rPr>
                <w:rFonts w:hint="eastAsia" w:ascii="宋体" w:hAnsi="宋体" w:cs="宋体"/>
                <w:b/>
                <w:bCs/>
                <w:szCs w:val="21"/>
              </w:rPr>
              <w:t>15.供应商在经营管理食堂期间，必须严格执行《中华人民共和国食品安全法》，遵守国家《餐饮服务食品安全监督管理办法》、《餐饮服务食品安全操作规范》等法律法规，依法经营，证照齐全。在原料采购上，严格选择具有合法供货资格的供货商，在采购过程中，注意向供货商索要相关证件、证明，配备专门的物资验收员，对所进物资严格检查，严把物资质量关，确保所购物资符合卫生要求。</w:t>
            </w:r>
          </w:p>
          <w:p>
            <w:pPr>
              <w:widowControl/>
              <w:numPr>
                <w:ilvl w:val="255"/>
                <w:numId w:val="0"/>
              </w:numPr>
              <w:spacing w:line="336" w:lineRule="auto"/>
              <w:ind w:firstLine="420" w:firstLineChars="200"/>
              <w:jc w:val="left"/>
              <w:rPr>
                <w:rFonts w:ascii="宋体" w:hAnsi="宋体" w:cs="宋体"/>
                <w:b/>
                <w:bCs/>
                <w:szCs w:val="21"/>
              </w:rPr>
            </w:pPr>
            <w:r>
              <w:rPr>
                <w:rFonts w:hint="eastAsia" w:ascii="宋体" w:hAnsi="宋体"/>
                <w:szCs w:val="21"/>
              </w:rPr>
              <w:t>▲</w:t>
            </w:r>
            <w:r>
              <w:rPr>
                <w:rFonts w:hint="eastAsia" w:ascii="宋体" w:hAnsi="宋体" w:cs="宋体"/>
                <w:b/>
                <w:bCs/>
                <w:szCs w:val="21"/>
              </w:rPr>
              <w:t>16.供应商必须自觉接受采购人考核小组对食堂的安全生产、食品安全、伙食质量、伙食价格等工作的监督和检查，采购人对食品卫生安全具有一票否决权。</w:t>
            </w:r>
          </w:p>
          <w:p>
            <w:pPr>
              <w:widowControl/>
              <w:numPr>
                <w:ilvl w:val="255"/>
                <w:numId w:val="0"/>
              </w:numPr>
              <w:spacing w:line="336" w:lineRule="auto"/>
              <w:ind w:firstLine="420" w:firstLineChars="200"/>
              <w:jc w:val="left"/>
              <w:rPr>
                <w:rFonts w:ascii="宋体" w:hAnsi="宋体" w:cs="宋体"/>
                <w:b/>
                <w:bCs/>
                <w:szCs w:val="21"/>
              </w:rPr>
            </w:pPr>
            <w:r>
              <w:rPr>
                <w:rFonts w:hint="eastAsia" w:ascii="宋体" w:hAnsi="宋体"/>
                <w:szCs w:val="21"/>
              </w:rPr>
              <w:t>▲</w:t>
            </w:r>
            <w:r>
              <w:rPr>
                <w:rFonts w:hint="eastAsia" w:ascii="宋体" w:hAnsi="宋体" w:cs="宋体"/>
                <w:b/>
                <w:bCs/>
                <w:szCs w:val="21"/>
              </w:rPr>
              <w:t>17.供应商必须自觉接受各级市场监督管理部门、卫生防疫部门的监督检查，并按检查要求进行整改。</w:t>
            </w:r>
          </w:p>
          <w:p>
            <w:pPr>
              <w:widowControl/>
              <w:numPr>
                <w:ilvl w:val="255"/>
                <w:numId w:val="0"/>
              </w:numPr>
              <w:spacing w:line="336" w:lineRule="auto"/>
              <w:ind w:firstLine="420" w:firstLineChars="200"/>
              <w:jc w:val="left"/>
            </w:pPr>
            <w:r>
              <w:rPr>
                <w:rFonts w:hint="eastAsia" w:ascii="宋体" w:hAnsi="宋体"/>
                <w:szCs w:val="21"/>
              </w:rPr>
              <w:t>▲</w:t>
            </w:r>
            <w:r>
              <w:rPr>
                <w:rFonts w:hint="eastAsia" w:ascii="宋体" w:hAnsi="宋体" w:cs="宋体"/>
                <w:b/>
                <w:bCs/>
                <w:szCs w:val="21"/>
              </w:rPr>
              <w:t>18.供应商必须配备至少1名专职的食品安全管理人员，食品安全管理员必须熟悉相关专业知识和法律法规，熟悉各项食品安全管理制度，并在</w:t>
            </w:r>
            <w:r>
              <w:rPr>
                <w:rFonts w:ascii="宋体" w:hAnsi="宋体" w:cs="宋体"/>
                <w:b/>
                <w:bCs/>
                <w:szCs w:val="21"/>
              </w:rPr>
              <w:t>响应文件中</w:t>
            </w:r>
            <w:r>
              <w:rPr>
                <w:rFonts w:hint="eastAsia" w:ascii="宋体" w:hAnsi="宋体" w:cs="宋体"/>
                <w:b/>
                <w:bCs/>
                <w:szCs w:val="21"/>
              </w:rPr>
              <w:t>提供其资格证明材料、身份证复印件等有效证明材料。</w:t>
            </w:r>
          </w:p>
          <w:p>
            <w:pPr>
              <w:widowControl/>
              <w:numPr>
                <w:ilvl w:val="255"/>
                <w:numId w:val="0"/>
              </w:numPr>
              <w:spacing w:line="336" w:lineRule="auto"/>
              <w:ind w:firstLine="422" w:firstLineChars="200"/>
              <w:jc w:val="left"/>
              <w:rPr>
                <w:rFonts w:ascii="宋体" w:hAnsi="宋体" w:cs="宋体"/>
                <w:b/>
                <w:bCs/>
                <w:szCs w:val="21"/>
              </w:rPr>
            </w:pPr>
            <w:r>
              <w:rPr>
                <w:rFonts w:hint="eastAsia" w:ascii="宋体" w:hAnsi="宋体" w:eastAsia="宋体" w:cs="宋体"/>
                <w:b/>
                <w:bCs/>
                <w:szCs w:val="21"/>
              </w:rPr>
              <w:t>▲</w:t>
            </w:r>
            <w:r>
              <w:rPr>
                <w:rFonts w:hint="eastAsia" w:ascii="宋体" w:hAnsi="宋体" w:cs="宋体"/>
                <w:b/>
                <w:bCs/>
                <w:szCs w:val="21"/>
              </w:rPr>
              <w:t>19.供应商可以对食堂进行局部装修，但装修方案要经过采购人审核，审核通过后方可实施。</w:t>
            </w:r>
          </w:p>
          <w:p>
            <w:pPr>
              <w:widowControl/>
              <w:numPr>
                <w:ilvl w:val="255"/>
                <w:numId w:val="0"/>
              </w:numPr>
              <w:spacing w:line="336" w:lineRule="auto"/>
              <w:ind w:firstLine="422" w:firstLineChars="200"/>
              <w:jc w:val="left"/>
              <w:rPr>
                <w:rFonts w:ascii="宋体" w:hAnsi="宋体" w:cs="宋体"/>
                <w:b/>
                <w:bCs/>
                <w:szCs w:val="21"/>
              </w:rPr>
            </w:pPr>
            <w:r>
              <w:rPr>
                <w:rFonts w:hint="eastAsia" w:ascii="宋体" w:hAnsi="宋体" w:eastAsia="宋体" w:cs="宋体"/>
                <w:b/>
                <w:bCs/>
                <w:szCs w:val="21"/>
              </w:rPr>
              <w:t>▲</w:t>
            </w:r>
            <w:r>
              <w:rPr>
                <w:rFonts w:hint="eastAsia" w:ascii="宋体" w:hAnsi="宋体" w:cs="宋体"/>
                <w:b/>
                <w:bCs/>
                <w:szCs w:val="21"/>
              </w:rPr>
              <w:t>20.负责更新用于日常经营的餐厨用具及电器设备。</w:t>
            </w:r>
          </w:p>
          <w:p>
            <w:pPr>
              <w:widowControl/>
              <w:numPr>
                <w:ilvl w:val="255"/>
                <w:numId w:val="0"/>
              </w:numPr>
              <w:spacing w:line="336" w:lineRule="auto"/>
              <w:ind w:firstLine="422" w:firstLineChars="200"/>
              <w:jc w:val="left"/>
              <w:rPr>
                <w:rFonts w:ascii="宋体" w:hAnsi="宋体" w:cs="宋体"/>
                <w:b/>
                <w:bCs/>
                <w:szCs w:val="21"/>
              </w:rPr>
            </w:pPr>
            <w:r>
              <w:rPr>
                <w:rFonts w:hint="eastAsia" w:ascii="宋体" w:hAnsi="宋体" w:eastAsia="宋体" w:cs="宋体"/>
                <w:b/>
                <w:bCs/>
                <w:szCs w:val="21"/>
              </w:rPr>
              <w:t>▲</w:t>
            </w:r>
            <w:r>
              <w:rPr>
                <w:rFonts w:hint="eastAsia" w:ascii="宋体" w:hAnsi="宋体" w:cs="宋体"/>
                <w:b/>
                <w:bCs/>
                <w:szCs w:val="21"/>
              </w:rPr>
              <w:t>21.经营期间，供应商须对采购人提供的水、电、燃气、灶台等硬件配套设施进行管理维护、维修，正常耗损率外损失需协商赔偿。</w:t>
            </w:r>
          </w:p>
          <w:p>
            <w:pPr>
              <w:widowControl/>
              <w:numPr>
                <w:ilvl w:val="255"/>
                <w:numId w:val="0"/>
              </w:numPr>
              <w:spacing w:line="336" w:lineRule="auto"/>
              <w:ind w:firstLine="422" w:firstLineChars="200"/>
              <w:jc w:val="left"/>
              <w:rPr>
                <w:rFonts w:hint="eastAsia" w:ascii="宋体" w:hAnsi="宋体" w:cs="宋体"/>
                <w:b/>
                <w:bCs/>
                <w:color w:val="auto"/>
                <w:szCs w:val="21"/>
                <w:lang w:val="en-US" w:eastAsia="zh-CN"/>
              </w:rPr>
            </w:pPr>
            <w:r>
              <w:rPr>
                <w:rFonts w:hint="eastAsia" w:ascii="宋体" w:hAnsi="宋体" w:eastAsia="宋体" w:cs="宋体"/>
                <w:b/>
                <w:bCs/>
                <w:szCs w:val="21"/>
              </w:rPr>
              <w:t>▲</w:t>
            </w:r>
            <w:r>
              <w:rPr>
                <w:rFonts w:hint="eastAsia" w:ascii="宋体" w:hAnsi="宋体" w:cs="宋体"/>
                <w:b/>
                <w:bCs/>
                <w:color w:val="auto"/>
                <w:szCs w:val="21"/>
              </w:rPr>
              <w:t>22.采购</w:t>
            </w:r>
            <w:r>
              <w:rPr>
                <w:rFonts w:hint="eastAsia" w:ascii="宋体" w:hAnsi="宋体" w:cs="宋体"/>
                <w:b/>
                <w:bCs/>
                <w:color w:val="auto"/>
                <w:szCs w:val="21"/>
                <w:lang w:val="en-US" w:eastAsia="zh-CN"/>
              </w:rPr>
              <w:t>人需缴纳</w:t>
            </w:r>
            <w:r>
              <w:rPr>
                <w:rFonts w:hint="eastAsia" w:ascii="宋体" w:hAnsi="宋体" w:cs="宋体"/>
                <w:b/>
                <w:bCs/>
                <w:color w:val="auto"/>
                <w:szCs w:val="21"/>
              </w:rPr>
              <w:t>场地使用费人民币2万元/月，共计人民币24万/年</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其中包含不仅限物业管理费、水电费、煤气费、垃圾清运费、隔油池清洁费、设备维修费等。</w:t>
            </w:r>
          </w:p>
          <w:p>
            <w:pPr>
              <w:widowControl/>
              <w:numPr>
                <w:ilvl w:val="255"/>
                <w:numId w:val="0"/>
              </w:numPr>
              <w:spacing w:line="336" w:lineRule="auto"/>
              <w:ind w:firstLine="422" w:firstLineChars="200"/>
              <w:jc w:val="left"/>
              <w:rPr>
                <w:rFonts w:ascii="宋体" w:hAnsi="宋体" w:cs="宋体"/>
                <w:b/>
                <w:bCs/>
                <w:szCs w:val="21"/>
              </w:rPr>
            </w:pPr>
            <w:r>
              <w:rPr>
                <w:rFonts w:hint="eastAsia" w:ascii="宋体" w:hAnsi="宋体" w:eastAsia="宋体" w:cs="宋体"/>
                <w:b/>
                <w:bCs/>
                <w:szCs w:val="21"/>
              </w:rPr>
              <w:t>▲</w:t>
            </w:r>
            <w:r>
              <w:rPr>
                <w:rFonts w:hint="eastAsia" w:ascii="宋体" w:hAnsi="宋体" w:cs="宋体"/>
                <w:b/>
                <w:bCs/>
                <w:color w:val="auto"/>
                <w:szCs w:val="21"/>
              </w:rPr>
              <w:t>2</w:t>
            </w:r>
            <w:r>
              <w:rPr>
                <w:rFonts w:hint="eastAsia" w:ascii="宋体" w:hAnsi="宋体" w:cs="宋体"/>
                <w:b/>
                <w:bCs/>
                <w:color w:val="auto"/>
                <w:szCs w:val="21"/>
                <w:lang w:val="en-US" w:eastAsia="zh-CN"/>
              </w:rPr>
              <w:t>3</w:t>
            </w:r>
            <w:r>
              <w:rPr>
                <w:rFonts w:hint="eastAsia" w:ascii="宋体" w:hAnsi="宋体" w:cs="宋体"/>
                <w:b/>
                <w:bCs/>
                <w:color w:val="auto"/>
                <w:szCs w:val="21"/>
              </w:rPr>
              <w:t>.供应商需缴付履约保证金</w:t>
            </w:r>
            <w:r>
              <w:rPr>
                <w:rFonts w:hint="eastAsia" w:ascii="宋体" w:hAnsi="宋体" w:cs="宋体"/>
                <w:b/>
                <w:bCs/>
                <w:color w:val="auto"/>
                <w:szCs w:val="21"/>
                <w:lang w:val="en-US" w:eastAsia="zh-CN"/>
              </w:rPr>
              <w:t>壹拾</w:t>
            </w:r>
            <w:r>
              <w:rPr>
                <w:rFonts w:hint="eastAsia" w:ascii="宋体" w:hAnsi="宋体" w:cs="宋体"/>
                <w:b/>
                <w:bCs/>
                <w:color w:val="auto"/>
                <w:szCs w:val="21"/>
              </w:rPr>
              <w:t>万</w:t>
            </w:r>
            <w:r>
              <w:rPr>
                <w:rFonts w:hint="eastAsia" w:ascii="宋体" w:hAnsi="宋体" w:cs="宋体"/>
                <w:b/>
                <w:bCs/>
                <w:szCs w:val="21"/>
              </w:rPr>
              <w:t>元整（￥</w:t>
            </w:r>
            <w:r>
              <w:rPr>
                <w:rFonts w:hint="eastAsia" w:ascii="宋体" w:hAnsi="宋体" w:cs="宋体"/>
                <w:b/>
                <w:bCs/>
                <w:szCs w:val="21"/>
                <w:lang w:val="en-US" w:eastAsia="zh-CN"/>
              </w:rPr>
              <w:t>10</w:t>
            </w:r>
            <w:r>
              <w:rPr>
                <w:rFonts w:hint="eastAsia" w:ascii="宋体" w:hAnsi="宋体" w:cs="宋体"/>
                <w:b/>
                <w:bCs/>
                <w:szCs w:val="21"/>
              </w:rPr>
              <w:t>0000</w:t>
            </w:r>
            <w:r>
              <w:rPr>
                <w:rFonts w:hint="eastAsia" w:ascii="宋体" w:hAnsi="宋体" w:cs="宋体"/>
                <w:b/>
                <w:bCs/>
                <w:szCs w:val="21"/>
                <w:lang w:val="en-US" w:eastAsia="zh-CN"/>
              </w:rPr>
              <w:t>.00</w:t>
            </w:r>
            <w:r>
              <w:rPr>
                <w:rFonts w:hint="eastAsia" w:ascii="宋体" w:hAnsi="宋体" w:cs="宋体"/>
                <w:b/>
                <w:bCs/>
                <w:szCs w:val="21"/>
              </w:rPr>
              <w:t>），合同期满（两年一签），在合同规定的服务期限内，作为供应商履行合约要求的服务质量及餐饮质量担保。无影响本合同实质要件的违约行为，款项结算清楚，财物归还手续办妥后，采购人全额无息退还履约保证金。</w:t>
            </w:r>
          </w:p>
          <w:p>
            <w:pPr>
              <w:widowControl/>
              <w:spacing w:line="336" w:lineRule="auto"/>
              <w:ind w:firstLine="422" w:firstLineChars="200"/>
              <w:jc w:val="left"/>
              <w:rPr>
                <w:rFonts w:ascii="宋体" w:hAnsi="宋体" w:cs="宋体"/>
                <w:szCs w:val="21"/>
              </w:rPr>
            </w:pPr>
            <w:r>
              <w:rPr>
                <w:rFonts w:hint="eastAsia" w:ascii="宋体" w:hAnsi="宋体" w:eastAsia="宋体" w:cs="宋体"/>
                <w:b/>
                <w:bCs/>
                <w:szCs w:val="21"/>
              </w:rPr>
              <w:t>▲</w:t>
            </w:r>
            <w:r>
              <w:rPr>
                <w:rFonts w:hint="eastAsia" w:ascii="宋体" w:hAnsi="宋体" w:cs="宋体"/>
                <w:b/>
                <w:bCs/>
                <w:szCs w:val="21"/>
              </w:rPr>
              <w:t>2</w:t>
            </w:r>
            <w:r>
              <w:rPr>
                <w:rFonts w:hint="eastAsia" w:ascii="宋体" w:hAnsi="宋体" w:cs="宋体"/>
                <w:b/>
                <w:bCs/>
                <w:szCs w:val="21"/>
                <w:lang w:val="en-US" w:eastAsia="zh-CN"/>
              </w:rPr>
              <w:t>4</w:t>
            </w:r>
            <w:r>
              <w:rPr>
                <w:rFonts w:hint="eastAsia" w:ascii="宋体" w:hAnsi="宋体" w:cs="宋体"/>
                <w:b/>
                <w:bCs/>
                <w:szCs w:val="21"/>
              </w:rPr>
              <w:t>.每月对食堂服务质量进行考核，若服务期间达不到考核标准，造成的损失，采购人有权从履约保证金内做相应的扣减。若服务期间连续三次达不到考核标准，或在整改期限内没有得到改善，采购人有权要求供应商退出经营并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76" w:type="dxa"/>
            <w:gridSpan w:val="4"/>
            <w:vAlign w:val="center"/>
          </w:tcPr>
          <w:p>
            <w:pPr>
              <w:spacing w:line="240" w:lineRule="atLeast"/>
              <w:rPr>
                <w:rFonts w:ascii="宋体" w:hAnsi="宋体"/>
                <w:szCs w:val="21"/>
              </w:rPr>
            </w:pPr>
            <w:r>
              <w:rPr>
                <w:rFonts w:hint="eastAsia" w:ascii="宋体" w:hAnsi="宋体"/>
                <w:szCs w:val="21"/>
              </w:rPr>
              <w:t>▲</w:t>
            </w:r>
            <w:r>
              <w:rPr>
                <w:rFonts w:hint="eastAsia" w:ascii="宋体" w:hAnsi="宋体"/>
                <w:b/>
                <w:szCs w:val="21"/>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76" w:type="dxa"/>
            <w:gridSpan w:val="4"/>
            <w:vAlign w:val="center"/>
          </w:tcPr>
          <w:p>
            <w:pPr>
              <w:widowControl/>
              <w:rPr>
                <w:rFonts w:asciiTheme="minorEastAsia" w:hAnsiTheme="minorEastAsia" w:eastAsiaTheme="minorEastAsia"/>
                <w:b/>
                <w:szCs w:val="21"/>
              </w:rPr>
            </w:pPr>
            <w:r>
              <w:rPr>
                <w:rFonts w:hint="eastAsia" w:asciiTheme="minorEastAsia" w:hAnsiTheme="minorEastAsia" w:eastAsiaTheme="minorEastAsia"/>
                <w:b/>
                <w:szCs w:val="21"/>
              </w:rPr>
              <w:t>（</w:t>
            </w:r>
            <w:r>
              <w:rPr>
                <w:rFonts w:hint="eastAsia" w:asciiTheme="minorEastAsia" w:hAnsiTheme="minorEastAsia" w:eastAsiaTheme="minorEastAsia"/>
                <w:b/>
                <w:szCs w:val="21"/>
                <w:lang w:val="en-US" w:eastAsia="zh-CN"/>
              </w:rPr>
              <w:t>一</w:t>
            </w:r>
            <w:r>
              <w:rPr>
                <w:rFonts w:hint="eastAsia" w:asciiTheme="minorEastAsia" w:hAnsiTheme="minorEastAsia" w:eastAsiaTheme="minorEastAsia"/>
                <w:b/>
                <w:szCs w:val="21"/>
              </w:rPr>
              <w:t>）服务期限：2年</w:t>
            </w:r>
          </w:p>
          <w:p>
            <w:pPr>
              <w:widowControl/>
              <w:rPr>
                <w:rFonts w:ascii="宋体" w:hAnsi="宋体"/>
                <w:b/>
                <w:szCs w:val="21"/>
              </w:rPr>
            </w:pPr>
            <w:r>
              <w:rPr>
                <w:rFonts w:hint="eastAsia" w:asciiTheme="minorEastAsia" w:hAnsiTheme="minorEastAsia" w:eastAsiaTheme="minorEastAsia"/>
                <w:b/>
                <w:szCs w:val="21"/>
              </w:rPr>
              <w:t>（</w:t>
            </w:r>
            <w:r>
              <w:rPr>
                <w:rFonts w:hint="eastAsia" w:asciiTheme="minorEastAsia" w:hAnsiTheme="minorEastAsia" w:eastAsiaTheme="minorEastAsia"/>
                <w:b/>
                <w:szCs w:val="21"/>
                <w:lang w:val="en-US" w:eastAsia="zh-CN"/>
              </w:rPr>
              <w:t>二</w:t>
            </w:r>
            <w:r>
              <w:rPr>
                <w:rFonts w:hint="eastAsia" w:asciiTheme="minorEastAsia" w:hAnsiTheme="minorEastAsia" w:eastAsiaTheme="minorEastAsia"/>
                <w:b/>
                <w:szCs w:val="21"/>
              </w:rPr>
              <w:t>）服务承诺：</w:t>
            </w:r>
            <w:r>
              <w:rPr>
                <w:rFonts w:hint="eastAsia" w:asciiTheme="minorEastAsia" w:hAnsiTheme="minorEastAsia" w:eastAsiaTheme="minorEastAsia"/>
                <w:szCs w:val="21"/>
              </w:rPr>
              <w:t>成交人在承包服务期限内，须严格遵守现行《食品安全法》、《劳动法》等法律法规，严格执行采购人的管理制度和要求。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76" w:type="dxa"/>
            <w:gridSpan w:val="4"/>
            <w:vAlign w:val="center"/>
          </w:tcPr>
          <w:p>
            <w:pPr>
              <w:spacing w:line="240" w:lineRule="atLeast"/>
              <w:rPr>
                <w:rFonts w:ascii="宋体" w:hAnsi="宋体"/>
                <w:szCs w:val="21"/>
              </w:rPr>
            </w:pPr>
            <w:r>
              <w:rPr>
                <w:rFonts w:hint="eastAsia" w:ascii="宋体" w:hAnsi="宋体"/>
                <w:b/>
                <w:szCs w:val="21"/>
              </w:rPr>
              <w:t>三、供应商的资信要求表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8" w:type="dxa"/>
            <w:gridSpan w:val="3"/>
            <w:vAlign w:val="center"/>
          </w:tcPr>
          <w:p>
            <w:pPr>
              <w:spacing w:line="240" w:lineRule="atLeast"/>
              <w:jc w:val="center"/>
              <w:rPr>
                <w:rFonts w:ascii="宋体" w:hAnsi="宋体"/>
                <w:szCs w:val="21"/>
              </w:rPr>
            </w:pPr>
            <w:r>
              <w:rPr>
                <w:rFonts w:hint="eastAsia" w:ascii="宋体" w:hAnsi="宋体"/>
                <w:szCs w:val="21"/>
              </w:rPr>
              <w:t>服务质量及</w:t>
            </w:r>
            <w:r>
              <w:rPr>
                <w:rFonts w:hint="eastAsia" w:ascii="宋体" w:hAnsi="宋体"/>
                <w:bCs/>
                <w:szCs w:val="21"/>
              </w:rPr>
              <w:t>售后保障措施</w:t>
            </w:r>
          </w:p>
        </w:tc>
        <w:tc>
          <w:tcPr>
            <w:tcW w:w="7398" w:type="dxa"/>
            <w:vAlign w:val="center"/>
          </w:tcPr>
          <w:p>
            <w:pPr>
              <w:spacing w:line="240" w:lineRule="atLeast"/>
              <w:rPr>
                <w:rFonts w:ascii="宋体" w:hAnsi="宋体"/>
                <w:szCs w:val="21"/>
              </w:rPr>
            </w:pPr>
            <w:r>
              <w:rPr>
                <w:rFonts w:hint="eastAsia" w:ascii="宋体" w:hAnsi="宋体"/>
                <w:szCs w:val="21"/>
              </w:rPr>
              <w:t>见“评标办法及评分标准”。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8" w:type="dxa"/>
            <w:gridSpan w:val="3"/>
            <w:vAlign w:val="center"/>
          </w:tcPr>
          <w:p>
            <w:pPr>
              <w:spacing w:line="240" w:lineRule="atLeast"/>
              <w:jc w:val="center"/>
              <w:rPr>
                <w:rFonts w:ascii="宋体" w:hAnsi="宋体"/>
                <w:szCs w:val="21"/>
              </w:rPr>
            </w:pPr>
            <w:r>
              <w:rPr>
                <w:rFonts w:hint="eastAsia" w:ascii="宋体" w:hAnsi="宋体"/>
                <w:szCs w:val="21"/>
              </w:rPr>
              <w:t>财务状况及业绩要求</w:t>
            </w:r>
          </w:p>
        </w:tc>
        <w:tc>
          <w:tcPr>
            <w:tcW w:w="7398" w:type="dxa"/>
            <w:vAlign w:val="center"/>
          </w:tcPr>
          <w:p>
            <w:pPr>
              <w:spacing w:line="240" w:lineRule="atLeast"/>
              <w:rPr>
                <w:rFonts w:ascii="宋体" w:hAnsi="宋体"/>
                <w:szCs w:val="21"/>
              </w:rPr>
            </w:pPr>
            <w:r>
              <w:rPr>
                <w:rFonts w:hint="eastAsia" w:ascii="宋体" w:hAnsi="宋体"/>
                <w:szCs w:val="21"/>
              </w:rPr>
              <w:t>见“评标办法及评分标准”。</w:t>
            </w:r>
          </w:p>
        </w:tc>
      </w:tr>
    </w:tbl>
    <w:p>
      <w:pPr>
        <w:textAlignment w:val="baseline"/>
        <w:rPr>
          <w:sz w:val="20"/>
        </w:rPr>
      </w:pPr>
    </w:p>
    <w:p>
      <w:pPr>
        <w:widowControl/>
        <w:jc w:val="left"/>
        <w:rPr>
          <w:rFonts w:ascii="宋体" w:hAnsi="宋体"/>
          <w:b/>
          <w:sz w:val="30"/>
          <w:szCs w:val="30"/>
        </w:rPr>
      </w:pPr>
      <w:r>
        <w:rPr>
          <w:rFonts w:ascii="宋体" w:hAnsi="宋体"/>
          <w:b/>
          <w:sz w:val="30"/>
          <w:szCs w:val="30"/>
        </w:rPr>
        <w:br w:type="page"/>
      </w:r>
    </w:p>
    <w:p>
      <w:pPr>
        <w:ind w:left="2319" w:hanging="2319" w:hangingChars="1100"/>
        <w:textAlignment w:val="baseline"/>
        <w:rPr>
          <w:b/>
          <w:i/>
          <w:caps/>
        </w:rPr>
      </w:pPr>
      <w:r>
        <w:rPr>
          <w:b/>
          <w:i/>
          <w:caps/>
        </w:rPr>
        <w:br w:type="textWrapping"/>
      </w:r>
      <w:bookmarkStart w:id="24" w:name="_Toc47625230"/>
    </w:p>
    <w:p>
      <w:pPr>
        <w:ind w:firstLine="2249" w:firstLineChars="700"/>
        <w:jc w:val="both"/>
        <w:textAlignment w:val="baseline"/>
        <w:rPr>
          <w:b/>
          <w:bCs/>
          <w:sz w:val="32"/>
          <w:szCs w:val="32"/>
        </w:rPr>
      </w:pPr>
      <w:r>
        <w:rPr>
          <w:rFonts w:hint="eastAsia"/>
          <w:b/>
          <w:bCs/>
          <w:sz w:val="32"/>
          <w:szCs w:val="32"/>
        </w:rPr>
        <w:t>第四章评审方法及定标标准</w:t>
      </w:r>
      <w:bookmarkEnd w:id="24"/>
    </w:p>
    <w:p>
      <w:pPr>
        <w:spacing w:line="240" w:lineRule="atLeast"/>
        <w:jc w:val="center"/>
        <w:textAlignment w:val="baseline"/>
        <w:rPr>
          <w:rFonts w:ascii="宋体" w:hAnsi="宋体"/>
          <w:b/>
          <w:sz w:val="32"/>
          <w:szCs w:val="32"/>
        </w:rPr>
      </w:pPr>
    </w:p>
    <w:p>
      <w:pPr>
        <w:spacing w:line="240" w:lineRule="atLeast"/>
        <w:jc w:val="center"/>
        <w:textAlignment w:val="baseline"/>
        <w:rPr>
          <w:rFonts w:ascii="宋体" w:hAnsi="宋体"/>
          <w:b/>
          <w:sz w:val="32"/>
          <w:szCs w:val="32"/>
        </w:rPr>
      </w:pPr>
    </w:p>
    <w:p>
      <w:pPr>
        <w:spacing w:line="240" w:lineRule="atLeast"/>
        <w:jc w:val="center"/>
        <w:textAlignment w:val="baseline"/>
        <w:rPr>
          <w:rFonts w:ascii="宋体" w:hAnsi="宋体"/>
          <w:b/>
          <w:sz w:val="32"/>
          <w:szCs w:val="32"/>
        </w:rPr>
      </w:pPr>
    </w:p>
    <w:p>
      <w:pPr>
        <w:spacing w:line="240" w:lineRule="atLeast"/>
        <w:jc w:val="center"/>
        <w:textAlignment w:val="baseline"/>
        <w:rPr>
          <w:rFonts w:ascii="宋体" w:hAnsi="宋体"/>
          <w:b/>
          <w:sz w:val="32"/>
          <w:szCs w:val="32"/>
        </w:rPr>
      </w:pPr>
    </w:p>
    <w:p>
      <w:pPr>
        <w:spacing w:line="240" w:lineRule="atLeast"/>
        <w:jc w:val="center"/>
        <w:textAlignment w:val="baseline"/>
        <w:rPr>
          <w:rFonts w:ascii="宋体" w:hAnsi="宋体"/>
          <w:b/>
          <w:sz w:val="32"/>
          <w:szCs w:val="32"/>
        </w:rPr>
      </w:pPr>
    </w:p>
    <w:p>
      <w:pPr>
        <w:spacing w:line="240" w:lineRule="atLeast"/>
        <w:jc w:val="center"/>
        <w:textAlignment w:val="baseline"/>
        <w:rPr>
          <w:rFonts w:ascii="宋体" w:hAnsi="宋体"/>
          <w:b/>
          <w:sz w:val="32"/>
          <w:szCs w:val="32"/>
        </w:rPr>
      </w:pPr>
    </w:p>
    <w:p>
      <w:pPr>
        <w:spacing w:line="240" w:lineRule="atLeast"/>
        <w:textAlignment w:val="baseline"/>
        <w:rPr>
          <w:rFonts w:ascii="宋体" w:hAnsi="宋体"/>
          <w:b/>
          <w:sz w:val="32"/>
          <w:szCs w:val="32"/>
        </w:rPr>
      </w:pPr>
    </w:p>
    <w:p>
      <w:pPr>
        <w:spacing w:line="380" w:lineRule="exact"/>
        <w:ind w:firstLine="422" w:firstLineChars="200"/>
        <w:textAlignment w:val="baseline"/>
        <w:rPr>
          <w:rFonts w:ascii="宋体" w:hAnsi="宋体" w:cs="宋体"/>
          <w:b/>
          <w:sz w:val="20"/>
          <w:szCs w:val="21"/>
        </w:rPr>
      </w:pPr>
      <w:r>
        <w:rPr>
          <w:b/>
          <w:i/>
          <w:caps/>
        </w:rPr>
        <w:br w:type="textWrapping"/>
      </w:r>
    </w:p>
    <w:p>
      <w:pPr>
        <w:widowControl/>
        <w:jc w:val="left"/>
        <w:rPr>
          <w:rFonts w:ascii="宋体" w:hAnsi="宋体" w:cs="宋体"/>
          <w:b/>
          <w:szCs w:val="21"/>
        </w:rPr>
      </w:pPr>
      <w:r>
        <w:rPr>
          <w:rFonts w:ascii="宋体" w:hAnsi="宋体" w:cs="宋体"/>
          <w:b/>
          <w:szCs w:val="21"/>
        </w:rPr>
        <w:br w:type="page"/>
      </w:r>
    </w:p>
    <w:p>
      <w:pPr>
        <w:spacing w:line="380" w:lineRule="exact"/>
        <w:ind w:firstLine="422" w:firstLineChars="200"/>
        <w:textAlignment w:val="baseline"/>
        <w:rPr>
          <w:rFonts w:ascii="宋体" w:hAnsi="宋体" w:cs="宋体"/>
          <w:b/>
          <w:sz w:val="20"/>
        </w:rPr>
      </w:pPr>
      <w:r>
        <w:rPr>
          <w:rFonts w:hint="eastAsia" w:ascii="宋体" w:hAnsi="宋体" w:cs="宋体"/>
          <w:b/>
          <w:szCs w:val="21"/>
        </w:rPr>
        <w:t>一、评审程序和评审方法</w:t>
      </w:r>
    </w:p>
    <w:p>
      <w:pPr>
        <w:spacing w:line="380" w:lineRule="exact"/>
        <w:ind w:firstLine="422" w:firstLineChars="200"/>
        <w:textAlignment w:val="baseline"/>
        <w:rPr>
          <w:rFonts w:ascii="宋体" w:hAnsi="宋体" w:cs="宋体"/>
          <w:b/>
          <w:sz w:val="20"/>
          <w:szCs w:val="21"/>
        </w:rPr>
      </w:pPr>
      <w:r>
        <w:rPr>
          <w:rFonts w:hint="eastAsia" w:ascii="宋体" w:hAnsi="宋体" w:cs="宋体"/>
          <w:b/>
          <w:szCs w:val="21"/>
        </w:rPr>
        <w:t>（一）磋商小组成立</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1.磋商小组由采购人代表共3人以上单数组成，具体人数见“供应商须知前附表”。</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2.响应文件的开启：具体详见“供应商须知前附表”。</w:t>
      </w:r>
    </w:p>
    <w:p>
      <w:pPr>
        <w:spacing w:line="380" w:lineRule="exact"/>
        <w:ind w:firstLine="422" w:firstLineChars="200"/>
        <w:textAlignment w:val="baseline"/>
        <w:rPr>
          <w:rFonts w:ascii="宋体" w:hAnsi="宋体" w:cs="宋体"/>
          <w:b/>
          <w:sz w:val="20"/>
          <w:szCs w:val="21"/>
        </w:rPr>
      </w:pPr>
      <w:r>
        <w:rPr>
          <w:rFonts w:hint="eastAsia" w:ascii="宋体" w:hAnsi="宋体" w:cs="宋体"/>
          <w:b/>
          <w:szCs w:val="21"/>
        </w:rPr>
        <w:t>（二）响应文件评审程序</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3</w:t>
      </w:r>
      <w:r>
        <w:rPr>
          <w:rFonts w:hint="eastAsia" w:ascii="宋体" w:hAnsi="宋体" w:cs="宋体"/>
          <w:szCs w:val="21"/>
        </w:rPr>
        <w:t>.资格审查</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3</w:t>
      </w:r>
      <w:r>
        <w:rPr>
          <w:rFonts w:hint="eastAsia" w:ascii="宋体" w:hAnsi="宋体" w:cs="宋体"/>
          <w:szCs w:val="21"/>
        </w:rPr>
        <w:t>.1</w:t>
      </w:r>
      <w:r>
        <w:rPr>
          <w:rFonts w:hint="eastAsia" w:ascii="宋体" w:hAnsi="宋体"/>
          <w:szCs w:val="21"/>
        </w:rPr>
        <w:t>响应文件开启后，磋商小组依法对供应商的资格证明文件进行审查。</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3</w:t>
      </w:r>
      <w:r>
        <w:rPr>
          <w:rFonts w:hint="eastAsia" w:ascii="宋体" w:hAnsi="宋体" w:cs="宋体"/>
          <w:szCs w:val="21"/>
        </w:rPr>
        <w:t>.2资格审查标准为本竞争性磋商文件中载明对供应商资格要求的条件。资格审查采用合格制，凡符合竞争性磋商文件规定的供应商资格要求的响应文件均通过资格审查。</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3</w:t>
      </w:r>
      <w:r>
        <w:rPr>
          <w:rFonts w:hint="eastAsia" w:ascii="宋体" w:hAnsi="宋体" w:cs="宋体"/>
          <w:szCs w:val="21"/>
        </w:rPr>
        <w:t>.3供应商有下列情形之一的，资格审查不通过，其响应文件按无效响应处理：</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（1）未按竞争性磋商文件规定的方式获取本竞争性磋商文件的供应商；</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（2）不具备竞争性磋商文件中规定的资格要求的；（注：其中信用查询规则见“供应商须知前附表”）</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（3）响应文件未提供任一项“供应商须知前附表”资格证明文件规定的“必须提供”的文件资料的；</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（4）响应文件提供的资格证明文件出现任一项不符合“供应商须知前附表”资格证明文件规定的“必须提供”的文件资料要求或者无效的。</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3</w:t>
      </w:r>
      <w:r>
        <w:rPr>
          <w:rFonts w:hint="eastAsia" w:ascii="宋体" w:hAnsi="宋体" w:cs="宋体"/>
          <w:szCs w:val="21"/>
        </w:rPr>
        <w:t>.4通过资格审查的合格供应商不足3家的，不得进入符合性审查环节，</w:t>
      </w:r>
      <w:r>
        <w:rPr>
          <w:rFonts w:hint="eastAsia" w:ascii="宋体" w:hAnsi="宋体"/>
          <w:szCs w:val="21"/>
        </w:rPr>
        <w:t>采购人应当重新开展采购活动。</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4</w:t>
      </w:r>
      <w:r>
        <w:rPr>
          <w:rFonts w:hint="eastAsia" w:ascii="宋体" w:hAnsi="宋体" w:cs="宋体"/>
          <w:szCs w:val="21"/>
        </w:rPr>
        <w:t>.符合性审查</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4</w:t>
      </w:r>
      <w:r>
        <w:rPr>
          <w:rFonts w:ascii="宋体" w:hAnsi="宋体" w:cs="宋体"/>
          <w:szCs w:val="21"/>
        </w:rPr>
        <w:t>.1</w:t>
      </w:r>
      <w:r>
        <w:rPr>
          <w:rFonts w:hint="eastAsia" w:ascii="宋体" w:hAnsi="宋体" w:cs="宋体"/>
          <w:szCs w:val="21"/>
        </w:rPr>
        <w:t>由磋商小组对</w:t>
      </w:r>
      <w:r>
        <w:rPr>
          <w:rFonts w:hint="eastAsia" w:ascii="宋体" w:hAnsi="宋体"/>
          <w:szCs w:val="21"/>
        </w:rPr>
        <w:t>通过资格审查的合格供应商</w:t>
      </w:r>
      <w:r>
        <w:rPr>
          <w:rFonts w:hint="eastAsia" w:ascii="宋体" w:hAnsi="宋体" w:cs="宋体"/>
          <w:szCs w:val="21"/>
        </w:rPr>
        <w:t>的响应文件的商务、技术等实质性要求进行符合性审查，以确定其是否满足竞争性磋商文件的实质性要求。</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4</w:t>
      </w:r>
      <w:r>
        <w:rPr>
          <w:rFonts w:ascii="宋体" w:hAnsi="宋体" w:cs="宋体"/>
          <w:szCs w:val="21"/>
        </w:rPr>
        <w:t>.2</w:t>
      </w:r>
      <w:r>
        <w:rPr>
          <w:rFonts w:hint="eastAsia" w:ascii="宋体" w:hAnsi="宋体" w:cs="宋体"/>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80" w:lineRule="exact"/>
        <w:ind w:firstLine="420" w:firstLineChars="200"/>
        <w:textAlignment w:val="baseline"/>
        <w:rPr>
          <w:rFonts w:ascii="宋体" w:hAnsi="宋体" w:cs="宋体"/>
          <w:spacing w:val="-6"/>
          <w:sz w:val="20"/>
          <w:szCs w:val="21"/>
        </w:rPr>
      </w:pPr>
      <w:r>
        <w:rPr>
          <w:rFonts w:hint="eastAsia" w:ascii="宋体" w:hAnsi="宋体" w:cs="宋体"/>
          <w:szCs w:val="21"/>
          <w:lang w:val="en-US" w:eastAsia="zh-CN"/>
        </w:rPr>
        <w:t>4</w:t>
      </w:r>
      <w:r>
        <w:rPr>
          <w:rFonts w:hint="eastAsia" w:ascii="宋体" w:hAnsi="宋体" w:cs="宋体"/>
          <w:szCs w:val="21"/>
        </w:rPr>
        <w:t>.</w:t>
      </w:r>
      <w:r>
        <w:rPr>
          <w:rFonts w:ascii="宋体" w:hAnsi="宋体" w:cs="宋体"/>
          <w:szCs w:val="21"/>
        </w:rPr>
        <w:t>3</w:t>
      </w:r>
      <w:r>
        <w:rPr>
          <w:rFonts w:hint="eastAsia" w:ascii="宋体" w:hAnsi="宋体" w:cs="宋体"/>
          <w:szCs w:val="21"/>
        </w:rPr>
        <w:t>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w:t>
      </w:r>
      <w:r>
        <w:rPr>
          <w:rFonts w:hint="eastAsia" w:ascii="宋体" w:hAnsi="宋体" w:cs="宋体"/>
          <w:szCs w:val="24"/>
        </w:rPr>
        <w:t>有利于采购人</w:t>
      </w:r>
      <w:r>
        <w:rPr>
          <w:rFonts w:hint="eastAsia" w:ascii="宋体" w:hAnsi="宋体" w:cs="宋体"/>
          <w:szCs w:val="21"/>
        </w:rPr>
        <w:t>的原则由磋商小组进行判定。供应商的澄清、说明或者更正应当由法定代表人或其授权代表签字或者加盖公章。由授权代表签字的，</w:t>
      </w:r>
      <w:r>
        <w:rPr>
          <w:rFonts w:hint="eastAsia" w:ascii="宋体" w:hAnsi="宋体" w:cs="宋体"/>
          <w:spacing w:val="-6"/>
          <w:szCs w:val="21"/>
        </w:rPr>
        <w:t>应当附法定代表人授权书</w:t>
      </w:r>
      <w:r>
        <w:rPr>
          <w:rFonts w:hint="eastAsia" w:ascii="宋体" w:hAnsi="宋体" w:cs="宋体"/>
          <w:szCs w:val="21"/>
        </w:rPr>
        <w:t>（若委托代理人为响应文件中承诺的授权委托代理人的，无须出示法定代表人授权委托书）</w:t>
      </w:r>
      <w:r>
        <w:rPr>
          <w:rFonts w:hint="eastAsia" w:ascii="宋体" w:hAnsi="宋体" w:cs="宋体"/>
          <w:spacing w:val="-6"/>
          <w:szCs w:val="21"/>
        </w:rPr>
        <w:t>。供应商为自然人的，应当由本人签字并附身份证明。</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商务技术报价评审</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在评审时，如发现下列情形之一的，将被视为响应文件无效处理：</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（1）商务技术评审</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1）提供响应文件正、副本数量不足的；</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2）响应文件未按竞争性磋商文件要求签署、盖章的；</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 xml:space="preserve">3）委托代理人未能出具有效身份证明或出具的身份证明与授权委托书中的信息不符的； </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4）响应文件未提供任一项“供应商须知前附表”第12.2条规定的“必须提供”或者“委托时必须提供”的文件资料的；响应文件提供的报价商务技术文件出现任一项不符合“供应商须知前附表”第12.2条规定的“必须提供”或者“委托时必须提供”的文件资料要求或者无效的。</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5</w:t>
      </w:r>
      <w:r>
        <w:rPr>
          <w:rFonts w:hint="eastAsia" w:ascii="宋体" w:hAnsi="宋体" w:cs="宋体"/>
          <w:szCs w:val="21"/>
        </w:rPr>
        <w:t>）商务条款中标“▲”的条款发生负偏离的或允许负偏离的条款数超过“供应商须知前附表”规定项数的或标明实质性的要求发生负偏离的；</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6</w:t>
      </w:r>
      <w:r>
        <w:rPr>
          <w:rFonts w:hint="eastAsia" w:ascii="宋体" w:hAnsi="宋体" w:cs="宋体"/>
          <w:szCs w:val="21"/>
        </w:rPr>
        <w:t>）未对竞标有效期作出响应或响应文件承诺的竞标有效期不满足竞争性磋商文件要求的；</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7</w:t>
      </w:r>
      <w:r>
        <w:rPr>
          <w:rFonts w:hint="eastAsia" w:ascii="宋体" w:hAnsi="宋体" w:cs="宋体"/>
          <w:szCs w:val="21"/>
        </w:rPr>
        <w:t>）响应文件的实质性内容未使用中文表述、使用计量单位不符合竞争性磋商文件要求的；</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8</w:t>
      </w:r>
      <w:r>
        <w:rPr>
          <w:rFonts w:hint="eastAsia" w:ascii="宋体" w:hAnsi="宋体" w:cs="宋体"/>
          <w:szCs w:val="21"/>
        </w:rPr>
        <w:t>）响应文件中的文件资料因填写不齐全或者内容虚假或者出现其他情形而导致被磋商小组认定无效的；</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9</w:t>
      </w:r>
      <w:r>
        <w:rPr>
          <w:rFonts w:hint="eastAsia" w:ascii="宋体" w:hAnsi="宋体" w:cs="宋体"/>
          <w:szCs w:val="21"/>
        </w:rPr>
        <w:t>）响应文件含有采购人不能接受的附加条件的；</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）属于“供应商须知正文”第7.</w:t>
      </w:r>
      <w:r>
        <w:rPr>
          <w:rFonts w:ascii="宋体" w:hAnsi="宋体" w:cs="宋体"/>
          <w:szCs w:val="21"/>
        </w:rPr>
        <w:t>7</w:t>
      </w:r>
      <w:r>
        <w:rPr>
          <w:rFonts w:hint="eastAsia" w:ascii="宋体" w:hAnsi="宋体" w:cs="宋体"/>
          <w:szCs w:val="21"/>
        </w:rPr>
        <w:t>条和第7.</w:t>
      </w:r>
      <w:r>
        <w:rPr>
          <w:rFonts w:ascii="宋体" w:hAnsi="宋体" w:cs="宋体"/>
          <w:szCs w:val="21"/>
        </w:rPr>
        <w:t>9</w:t>
      </w:r>
      <w:r>
        <w:rPr>
          <w:rFonts w:hint="eastAsia" w:ascii="宋体" w:hAnsi="宋体" w:cs="宋体"/>
          <w:szCs w:val="21"/>
        </w:rPr>
        <w:t>条（2）的情形的；</w:t>
      </w:r>
    </w:p>
    <w:p>
      <w:pPr>
        <w:spacing w:line="380" w:lineRule="exact"/>
        <w:ind w:firstLine="420" w:firstLineChars="200"/>
        <w:textAlignment w:val="baseline"/>
        <w:rPr>
          <w:rFonts w:ascii="宋体" w:hAnsi="宋体" w:cs="宋体"/>
          <w:sz w:val="20"/>
          <w:szCs w:val="21"/>
        </w:rPr>
      </w:pPr>
      <w:r>
        <w:rPr>
          <w:rFonts w:ascii="宋体" w:hAnsi="宋体" w:cs="宋体"/>
          <w:szCs w:val="21"/>
        </w:rPr>
        <w:t>1</w:t>
      </w:r>
      <w:r>
        <w:rPr>
          <w:rFonts w:hint="eastAsia" w:ascii="宋体" w:hAnsi="宋体" w:cs="宋体"/>
          <w:szCs w:val="21"/>
          <w:lang w:val="en-US" w:eastAsia="zh-CN"/>
        </w:rPr>
        <w:t>1</w:t>
      </w:r>
      <w:r>
        <w:rPr>
          <w:rFonts w:hint="eastAsia" w:ascii="宋体" w:hAnsi="宋体" w:cs="宋体"/>
          <w:szCs w:val="21"/>
        </w:rPr>
        <w:t>）明显不满足竞争性磋商文件要求的技术规格、安全、质量标准，或者与竞争性磋商文件中标“▲”的技术需求或标明实质性的要求发生负偏离的；</w:t>
      </w:r>
    </w:p>
    <w:p>
      <w:pPr>
        <w:spacing w:line="380" w:lineRule="exact"/>
        <w:ind w:firstLine="420" w:firstLineChars="200"/>
        <w:textAlignment w:val="baseline"/>
        <w:rPr>
          <w:rFonts w:ascii="宋体" w:hAnsi="宋体" w:cs="宋体"/>
          <w:sz w:val="20"/>
          <w:szCs w:val="21"/>
        </w:rPr>
      </w:pPr>
      <w:r>
        <w:rPr>
          <w:rFonts w:ascii="宋体" w:hAnsi="宋体" w:cs="宋体"/>
          <w:szCs w:val="21"/>
        </w:rPr>
        <w:t>1</w:t>
      </w:r>
      <w:r>
        <w:rPr>
          <w:rFonts w:hint="eastAsia" w:ascii="宋体" w:hAnsi="宋体" w:cs="宋体"/>
          <w:szCs w:val="21"/>
          <w:lang w:val="en-US" w:eastAsia="zh-CN"/>
        </w:rPr>
        <w:t>2</w:t>
      </w:r>
      <w:r>
        <w:rPr>
          <w:rFonts w:hint="eastAsia" w:ascii="宋体" w:hAnsi="宋体" w:cs="宋体"/>
          <w:szCs w:val="21"/>
        </w:rPr>
        <w:t>）技术需求允许负偏离的条款数超过“供应商须知前附表”规定项数的；</w:t>
      </w:r>
    </w:p>
    <w:p>
      <w:pPr>
        <w:spacing w:line="380" w:lineRule="exact"/>
        <w:ind w:firstLine="420" w:firstLineChars="200"/>
        <w:textAlignment w:val="baseline"/>
        <w:rPr>
          <w:rFonts w:ascii="宋体" w:hAnsi="宋体" w:cs="宋体"/>
          <w:sz w:val="20"/>
          <w:szCs w:val="21"/>
        </w:rPr>
      </w:pP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）虚假竞标，或者出现其他情形而导致被磋商小组认定无效的；</w:t>
      </w:r>
    </w:p>
    <w:p>
      <w:pPr>
        <w:spacing w:line="380" w:lineRule="exact"/>
        <w:ind w:firstLine="420" w:firstLineChars="200"/>
        <w:textAlignment w:val="baseline"/>
        <w:rPr>
          <w:rFonts w:ascii="宋体" w:hAnsi="宋体" w:cs="宋体"/>
          <w:sz w:val="20"/>
          <w:szCs w:val="21"/>
        </w:rPr>
      </w:pPr>
      <w:r>
        <w:rPr>
          <w:rFonts w:ascii="宋体" w:hAnsi="宋体" w:cs="宋体"/>
          <w:szCs w:val="21"/>
        </w:rPr>
        <w:t>1</w:t>
      </w:r>
      <w:r>
        <w:rPr>
          <w:rFonts w:hint="eastAsia" w:ascii="宋体" w:hAnsi="宋体" w:cs="宋体"/>
          <w:szCs w:val="21"/>
          <w:lang w:val="en-US" w:eastAsia="zh-CN"/>
        </w:rPr>
        <w:t>4</w:t>
      </w:r>
      <w:r>
        <w:rPr>
          <w:rFonts w:hint="eastAsia" w:ascii="宋体" w:hAnsi="宋体" w:cs="宋体"/>
          <w:szCs w:val="21"/>
        </w:rPr>
        <w:t>）竞标技术方案不明确，竞争性磋商文件未允许</w:t>
      </w:r>
      <w:r>
        <w:rPr>
          <w:rFonts w:hint="eastAsia" w:ascii="Times New Roman" w:hAnsi="Times New Roman"/>
          <w:szCs w:val="24"/>
        </w:rPr>
        <w:t>但响应文件中</w:t>
      </w:r>
      <w:r>
        <w:rPr>
          <w:rFonts w:hint="eastAsia" w:ascii="宋体" w:hAnsi="宋体" w:cs="宋体"/>
          <w:szCs w:val="21"/>
        </w:rPr>
        <w:t>存在一个或一个以上备选（替代）竞标方案的；</w:t>
      </w:r>
    </w:p>
    <w:p>
      <w:pPr>
        <w:spacing w:line="380" w:lineRule="exact"/>
        <w:ind w:firstLine="420" w:firstLineChars="200"/>
        <w:textAlignment w:val="baseline"/>
        <w:rPr>
          <w:rFonts w:ascii="宋体" w:hAnsi="宋体" w:cs="宋体"/>
          <w:sz w:val="20"/>
          <w:szCs w:val="21"/>
        </w:rPr>
      </w:pPr>
      <w:r>
        <w:rPr>
          <w:rFonts w:ascii="宋体" w:hAnsi="宋体" w:cs="宋体"/>
          <w:szCs w:val="21"/>
        </w:rPr>
        <w:t>1</w:t>
      </w:r>
      <w:r>
        <w:rPr>
          <w:rFonts w:hint="eastAsia" w:ascii="宋体" w:hAnsi="宋体" w:cs="宋体"/>
          <w:szCs w:val="21"/>
          <w:lang w:val="en-US" w:eastAsia="zh-CN"/>
        </w:rPr>
        <w:t>5</w:t>
      </w:r>
      <w:r>
        <w:rPr>
          <w:rFonts w:hint="eastAsia" w:ascii="宋体" w:hAnsi="宋体" w:cs="宋体"/>
          <w:szCs w:val="21"/>
        </w:rPr>
        <w:t>）未响应竞争性磋商文件实质性要求的；</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）法律、法规和竞争性磋商文件规定的其他无效情形。</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4</w:t>
      </w:r>
      <w:r>
        <w:rPr>
          <w:rFonts w:ascii="宋体" w:hAnsi="宋体" w:cs="宋体"/>
          <w:szCs w:val="21"/>
        </w:rPr>
        <w:t>.</w:t>
      </w:r>
      <w:r>
        <w:rPr>
          <w:rFonts w:hint="eastAsia" w:ascii="宋体" w:hAnsi="宋体" w:cs="宋体"/>
          <w:szCs w:val="21"/>
          <w:lang w:val="en-US" w:eastAsia="zh-CN"/>
        </w:rPr>
        <w:t>5</w:t>
      </w:r>
      <w:r>
        <w:rPr>
          <w:rFonts w:hint="eastAsia" w:ascii="宋体" w:hAnsi="宋体" w:cs="宋体"/>
          <w:szCs w:val="21"/>
        </w:rPr>
        <w:t>磋商小组对响应文件进行评审，未实质性响应竞争性磋商文件的响应文件按无效处理，由磋商小组告知有关供应商。磋商小组从符合竞争性磋商文件规定的相应资格条件的供应商名单中确定不少于3家的供应商参加磋商。</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4</w:t>
      </w:r>
      <w:r>
        <w:rPr>
          <w:rFonts w:ascii="宋体" w:hAnsi="宋体" w:cs="宋体"/>
          <w:szCs w:val="21"/>
        </w:rPr>
        <w:t>.</w:t>
      </w:r>
      <w:r>
        <w:rPr>
          <w:rFonts w:hint="eastAsia" w:ascii="宋体" w:hAnsi="宋体" w:cs="宋体"/>
          <w:szCs w:val="21"/>
          <w:lang w:val="en-US" w:eastAsia="zh-CN"/>
        </w:rPr>
        <w:t>6</w:t>
      </w:r>
      <w:r>
        <w:rPr>
          <w:rFonts w:hint="eastAsia" w:ascii="宋体" w:hAnsi="宋体"/>
          <w:szCs w:val="21"/>
        </w:rPr>
        <w:t>通过符合性审查的合格供应商不足3家的，不得进入磋商环节，采购人应当重新开展采购活动。</w:t>
      </w:r>
    </w:p>
    <w:p>
      <w:pPr>
        <w:spacing w:line="380" w:lineRule="exact"/>
        <w:ind w:firstLine="422" w:firstLineChars="200"/>
        <w:textAlignment w:val="baseline"/>
        <w:rPr>
          <w:rFonts w:ascii="宋体" w:hAnsi="宋体" w:cs="宋体"/>
          <w:b/>
          <w:kern w:val="0"/>
          <w:sz w:val="20"/>
          <w:szCs w:val="21"/>
        </w:rPr>
      </w:pPr>
      <w:r>
        <w:rPr>
          <w:rFonts w:hint="eastAsia" w:ascii="宋体" w:hAnsi="宋体" w:cs="宋体"/>
          <w:b/>
          <w:kern w:val="0"/>
          <w:szCs w:val="21"/>
        </w:rPr>
        <w:t>（三）磋商</w:t>
      </w:r>
    </w:p>
    <w:p>
      <w:pPr>
        <w:spacing w:line="380" w:lineRule="exact"/>
        <w:ind w:firstLine="420" w:firstLineChars="200"/>
        <w:textAlignment w:val="baseline"/>
        <w:rPr>
          <w:rFonts w:ascii="宋体" w:hAnsi="宋体" w:cs="宋体"/>
          <w:kern w:val="0"/>
          <w:sz w:val="20"/>
          <w:szCs w:val="21"/>
        </w:rPr>
      </w:pPr>
      <w:r>
        <w:rPr>
          <w:rFonts w:hint="eastAsia" w:ascii="宋体" w:hAnsi="宋体" w:cs="宋体"/>
          <w:kern w:val="0"/>
          <w:szCs w:val="21"/>
          <w:lang w:val="en-US" w:eastAsia="zh-CN"/>
        </w:rPr>
        <w:t>5</w:t>
      </w:r>
      <w:r>
        <w:rPr>
          <w:rFonts w:hint="eastAsia" w:ascii="宋体" w:hAnsi="宋体" w:cs="宋体"/>
          <w:kern w:val="0"/>
          <w:szCs w:val="21"/>
        </w:rPr>
        <w:t>.磋商小组按照“供应商须知前附表”确定的</w:t>
      </w:r>
      <w:r>
        <w:rPr>
          <w:rFonts w:hint="eastAsia" w:ascii="宋体" w:hAnsi="宋体" w:cs="宋体"/>
          <w:szCs w:val="21"/>
        </w:rPr>
        <w:t>顺序，集中与单一供应商分别进行磋商，并给予所有参加磋商的供应商平等的磋商机会。符合磋商资格的供应商应当在接到磋商通知后规定时间内参加磋商，未在规定时间内参加磋商的视同放弃参加磋商权利，其响应文件按无效响应处理。</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6</w:t>
      </w: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7</w:t>
      </w:r>
      <w:r>
        <w:rPr>
          <w:rFonts w:hint="eastAsia" w:ascii="宋体" w:hAnsi="宋体" w:cs="宋体"/>
          <w:szCs w:val="21"/>
        </w:rPr>
        <w:t>.对竞争性磋商文件作出的实质性变动是竞争性磋商文件的有效组成部分，由磋商小组及时以书面形式同时通知所有参加磋商的供应商。</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8</w:t>
      </w:r>
      <w:r>
        <w:rPr>
          <w:rFonts w:ascii="宋体" w:hAnsi="宋体" w:cs="宋体"/>
          <w:szCs w:val="21"/>
        </w:rPr>
        <w:t>.</w:t>
      </w:r>
      <w:r>
        <w:rPr>
          <w:rFonts w:hint="eastAsia" w:ascii="宋体" w:hAnsi="宋体" w:cs="宋体"/>
          <w:szCs w:val="21"/>
        </w:rPr>
        <w:t xml:space="preserve"> 供应商应当按照竞争性磋商文件的变动情况和磋商小组的要求重新提交响应文件，并由其法定代表人或授权代表签字或者加盖公章。由授权代表签字的，应当附法定代表人授权书（若委托代理人为响应文件中承诺的授权委托代理人的，无须出示法定代表人授权委托书）。供应商为自然人的，应当由本人签字并附身份证明。参加磋商的供应商未在规定时间内重新提交响应文件的，视同退出磋商。</w:t>
      </w:r>
    </w:p>
    <w:p>
      <w:pPr>
        <w:spacing w:line="380" w:lineRule="exact"/>
        <w:ind w:firstLine="420" w:firstLineChars="200"/>
        <w:textAlignment w:val="baseline"/>
        <w:rPr>
          <w:rFonts w:ascii="宋体" w:hAnsi="宋体" w:cs="宋体"/>
          <w:sz w:val="20"/>
          <w:szCs w:val="21"/>
        </w:rPr>
      </w:pPr>
      <w:r>
        <w:rPr>
          <w:rFonts w:hint="eastAsia" w:ascii="宋体" w:hAnsi="宋体" w:cs="宋体"/>
          <w:szCs w:val="21"/>
          <w:lang w:val="en-US" w:eastAsia="zh-CN"/>
        </w:rPr>
        <w:t>9</w:t>
      </w:r>
      <w:r>
        <w:rPr>
          <w:rFonts w:hint="eastAsia" w:ascii="宋体" w:hAnsi="宋体" w:cs="宋体"/>
          <w:szCs w:val="21"/>
        </w:rPr>
        <w:t>.磋商中，</w:t>
      </w:r>
      <w:r>
        <w:rPr>
          <w:rFonts w:hint="eastAsia" w:ascii="宋体" w:hAnsi="宋体" w:cs="宋体"/>
          <w:spacing w:val="-6"/>
          <w:szCs w:val="21"/>
        </w:rPr>
        <w:t>磋商的任何一方不得透露与磋商有关的其他供应商的技术资料、价格和其他信息。</w:t>
      </w:r>
    </w:p>
    <w:p>
      <w:pPr>
        <w:widowControl/>
        <w:tabs>
          <w:tab w:val="left" w:pos="540"/>
        </w:tabs>
        <w:spacing w:line="380" w:lineRule="exact"/>
        <w:ind w:firstLine="420" w:firstLineChars="200"/>
        <w:jc w:val="left"/>
        <w:textAlignment w:val="baseline"/>
        <w:rPr>
          <w:rFonts w:ascii="宋体" w:hAnsi="宋体" w:cs="宋体"/>
          <w:sz w:val="20"/>
          <w:szCs w:val="21"/>
        </w:rPr>
      </w:pPr>
      <w:r>
        <w:rPr>
          <w:rFonts w:ascii="宋体" w:hAnsi="宋体" w:cs="宋体"/>
          <w:szCs w:val="21"/>
        </w:rPr>
        <w:t>1</w:t>
      </w:r>
      <w:r>
        <w:rPr>
          <w:rFonts w:hint="eastAsia" w:ascii="宋体" w:hAnsi="宋体" w:cs="宋体"/>
          <w:szCs w:val="21"/>
          <w:lang w:val="en-US" w:eastAsia="zh-CN"/>
        </w:rPr>
        <w:t>0</w:t>
      </w:r>
      <w:r>
        <w:rPr>
          <w:rFonts w:hint="eastAsia" w:ascii="宋体" w:hAnsi="宋体" w:cs="宋体"/>
          <w:szCs w:val="21"/>
        </w:rPr>
        <w:t>.采购</w:t>
      </w:r>
      <w:r>
        <w:rPr>
          <w:rFonts w:hint="eastAsia" w:ascii="宋体" w:hAnsi="宋体" w:cs="宋体"/>
          <w:szCs w:val="21"/>
          <w:lang w:val="en-US" w:eastAsia="zh-CN"/>
        </w:rPr>
        <w:t>人工作人员</w:t>
      </w:r>
      <w:r>
        <w:rPr>
          <w:rFonts w:hint="eastAsia" w:ascii="宋体" w:hAnsi="宋体" w:cs="宋体"/>
          <w:szCs w:val="21"/>
        </w:rPr>
        <w:t>对磋商过程和重要磋商内容进行记录，磋商双方在记录上签字确认。</w:t>
      </w:r>
    </w:p>
    <w:p>
      <w:pPr>
        <w:widowControl/>
        <w:tabs>
          <w:tab w:val="left" w:pos="540"/>
        </w:tabs>
        <w:spacing w:line="380" w:lineRule="exact"/>
        <w:ind w:firstLine="420" w:firstLineChars="200"/>
        <w:jc w:val="left"/>
        <w:textAlignment w:val="baseline"/>
        <w:rPr>
          <w:rFonts w:ascii="宋体" w:hAnsi="宋体" w:cs="宋体"/>
          <w:sz w:val="20"/>
          <w:szCs w:val="21"/>
        </w:rPr>
      </w:pPr>
      <w:r>
        <w:rPr>
          <w:rFonts w:ascii="宋体" w:hAnsi="宋体" w:cs="宋体"/>
          <w:szCs w:val="21"/>
        </w:rPr>
        <w:t>1</w:t>
      </w:r>
      <w:r>
        <w:rPr>
          <w:rFonts w:hint="eastAsia" w:ascii="宋体" w:hAnsi="宋体" w:cs="宋体"/>
          <w:szCs w:val="21"/>
          <w:lang w:val="en-US" w:eastAsia="zh-CN"/>
        </w:rPr>
        <w:t>1</w:t>
      </w:r>
      <w:r>
        <w:rPr>
          <w:rFonts w:hint="eastAsia" w:ascii="宋体" w:hAnsi="宋体" w:cs="宋体"/>
          <w:szCs w:val="21"/>
        </w:rPr>
        <w:t>.磋商过程中重新提交的响应文件，供应商可以在开启前补充、修改。</w:t>
      </w:r>
    </w:p>
    <w:p>
      <w:pPr>
        <w:widowControl/>
        <w:tabs>
          <w:tab w:val="left" w:pos="540"/>
        </w:tabs>
        <w:spacing w:line="380" w:lineRule="exact"/>
        <w:ind w:firstLine="420" w:firstLineChars="200"/>
        <w:jc w:val="left"/>
        <w:textAlignment w:val="baseline"/>
        <w:rPr>
          <w:rFonts w:ascii="宋体" w:hAnsi="宋体" w:cs="宋体"/>
          <w:sz w:val="20"/>
          <w:szCs w:val="21"/>
        </w:rPr>
      </w:pPr>
      <w:r>
        <w:rPr>
          <w:rFonts w:hint="eastAsia" w:ascii="宋体" w:hAnsi="宋体" w:cs="宋体"/>
          <w:szCs w:val="21"/>
        </w:rPr>
        <w:t>1</w:t>
      </w:r>
      <w:r>
        <w:rPr>
          <w:rFonts w:hint="eastAsia" w:ascii="宋体" w:hAnsi="宋体" w:cs="宋体"/>
          <w:szCs w:val="21"/>
          <w:lang w:val="en-US" w:eastAsia="zh-CN"/>
        </w:rPr>
        <w:t>2</w:t>
      </w:r>
      <w:r>
        <w:rPr>
          <w:rFonts w:ascii="宋体" w:hAnsi="宋体" w:cs="宋体"/>
          <w:szCs w:val="21"/>
        </w:rPr>
        <w:t>.</w:t>
      </w:r>
      <w:r>
        <w:rPr>
          <w:rFonts w:ascii="宋体" w:hAnsi="宋体"/>
          <w:szCs w:val="21"/>
        </w:rPr>
        <w:t>采用竞争性磋商采购方式采购的购买服务项目（含政府和社会资本合作项目），在采购过程中符合要求的供应商（社会资本）只有2家的，竞争性磋商采购活动可以继续进行。采购过程中符合要求的供应商（社会资本）只有1家的，采购人（项目实施机构）应当终止竞争性磋商采购活动，发布项目终止公告并说明原因，重新开展采购活动。</w:t>
      </w:r>
    </w:p>
    <w:p>
      <w:pPr>
        <w:tabs>
          <w:tab w:val="left" w:pos="2835"/>
        </w:tabs>
        <w:spacing w:line="380" w:lineRule="exact"/>
        <w:ind w:firstLine="420" w:firstLineChars="200"/>
        <w:textAlignment w:val="baseline"/>
        <w:rPr>
          <w:rFonts w:ascii="宋体" w:hAnsi="宋体" w:cs="宋体"/>
          <w:sz w:val="20"/>
          <w:szCs w:val="21"/>
        </w:rPr>
      </w:pPr>
      <w:r>
        <w:rPr>
          <w:rFonts w:ascii="宋体" w:hAnsi="宋体" w:cs="宋体"/>
          <w:szCs w:val="21"/>
        </w:rPr>
        <w:t>1</w:t>
      </w:r>
      <w:r>
        <w:rPr>
          <w:rFonts w:hint="eastAsia" w:ascii="宋体" w:hAnsi="宋体" w:cs="宋体"/>
          <w:szCs w:val="21"/>
          <w:lang w:val="en-US" w:eastAsia="zh-CN"/>
        </w:rPr>
        <w:t>3</w:t>
      </w:r>
      <w:r>
        <w:rPr>
          <w:rFonts w:ascii="宋体" w:hAnsi="宋体" w:cs="宋体"/>
          <w:szCs w:val="21"/>
        </w:rPr>
        <w:t>.</w:t>
      </w:r>
      <w:r>
        <w:rPr>
          <w:rFonts w:hint="eastAsia" w:ascii="宋体" w:hAnsi="宋体"/>
          <w:szCs w:val="21"/>
        </w:rPr>
        <w:t xml:space="preserve"> 对磋商过程提交的响应文件进行有效性、完整性和响应程度审查，通过审查的合格供应商不足3家的，除本章第1</w:t>
      </w:r>
      <w:r>
        <w:rPr>
          <w:rFonts w:hint="eastAsia" w:ascii="宋体" w:hAnsi="宋体"/>
          <w:szCs w:val="21"/>
          <w:lang w:val="en-US" w:eastAsia="zh-CN"/>
        </w:rPr>
        <w:t>2</w:t>
      </w:r>
      <w:r>
        <w:rPr>
          <w:rFonts w:hint="eastAsia" w:ascii="宋体" w:hAnsi="宋体"/>
          <w:szCs w:val="21"/>
        </w:rPr>
        <w:t>条的情形外，采购人应当重新开展采购活动。</w:t>
      </w:r>
    </w:p>
    <w:p>
      <w:pPr>
        <w:spacing w:line="380" w:lineRule="exact"/>
        <w:ind w:firstLine="422" w:firstLineChars="200"/>
        <w:textAlignment w:val="baseline"/>
        <w:rPr>
          <w:rFonts w:ascii="宋体" w:hAnsi="宋体" w:cs="宋体"/>
          <w:b/>
          <w:sz w:val="20"/>
          <w:szCs w:val="21"/>
        </w:rPr>
      </w:pPr>
      <w:r>
        <w:rPr>
          <w:rFonts w:hint="eastAsia" w:ascii="宋体" w:hAnsi="宋体" w:cs="宋体"/>
          <w:b/>
          <w:szCs w:val="21"/>
        </w:rPr>
        <w:t>（</w:t>
      </w:r>
      <w:r>
        <w:rPr>
          <w:rFonts w:hint="eastAsia" w:ascii="宋体" w:hAnsi="宋体" w:cs="宋体"/>
          <w:b/>
          <w:szCs w:val="21"/>
          <w:lang w:val="en-US" w:eastAsia="zh-CN"/>
        </w:rPr>
        <w:t>四</w:t>
      </w:r>
      <w:r>
        <w:rPr>
          <w:rFonts w:hint="eastAsia" w:ascii="宋体" w:hAnsi="宋体" w:cs="宋体"/>
          <w:b/>
          <w:szCs w:val="21"/>
        </w:rPr>
        <w:t>）比较与评价</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w:t>
      </w:r>
      <w:r>
        <w:rPr>
          <w:rFonts w:hint="eastAsia" w:ascii="宋体" w:hAnsi="宋体" w:cs="宋体"/>
          <w:szCs w:val="21"/>
          <w:lang w:val="en-US" w:eastAsia="zh-CN"/>
        </w:rPr>
        <w:t>3</w:t>
      </w:r>
      <w:r>
        <w:rPr>
          <w:rFonts w:ascii="宋体" w:hAnsi="宋体" w:cs="宋体"/>
          <w:szCs w:val="21"/>
        </w:rPr>
        <w:t>.</w:t>
      </w:r>
      <w:r>
        <w:rPr>
          <w:rFonts w:hint="eastAsia" w:ascii="宋体" w:hAnsi="宋体" w:cs="宋体"/>
          <w:szCs w:val="21"/>
        </w:rPr>
        <w:t>评审方法：综合评分法。</w:t>
      </w:r>
    </w:p>
    <w:p>
      <w:pPr>
        <w:spacing w:line="380" w:lineRule="exact"/>
        <w:ind w:firstLine="420" w:firstLineChars="200"/>
        <w:textAlignment w:val="baseline"/>
        <w:rPr>
          <w:rFonts w:ascii="宋体" w:hAnsi="宋体" w:cs="宋体"/>
          <w:sz w:val="20"/>
          <w:szCs w:val="21"/>
        </w:rPr>
      </w:pPr>
      <w:r>
        <w:rPr>
          <w:rFonts w:ascii="宋体" w:hAnsi="宋体" w:cs="宋体"/>
          <w:szCs w:val="21"/>
        </w:rPr>
        <w:t>2</w:t>
      </w:r>
      <w:r>
        <w:rPr>
          <w:rFonts w:hint="eastAsia" w:ascii="宋体" w:hAnsi="宋体" w:cs="宋体"/>
          <w:szCs w:val="21"/>
          <w:lang w:val="en-US" w:eastAsia="zh-CN"/>
        </w:rPr>
        <w:t>4</w:t>
      </w:r>
      <w:r>
        <w:rPr>
          <w:rFonts w:ascii="宋体" w:hAnsi="宋体" w:cs="宋体"/>
          <w:szCs w:val="21"/>
        </w:rPr>
        <w:t>.</w:t>
      </w:r>
      <w:r>
        <w:rPr>
          <w:rFonts w:hint="eastAsia" w:ascii="宋体" w:hAnsi="宋体" w:cs="宋体"/>
          <w:szCs w:val="21"/>
        </w:rPr>
        <w:t>经磋商确定最终采购需求的供应商后，由磋商小组采用综合评分法对供应商的响应文件进行综合评分。</w:t>
      </w:r>
    </w:p>
    <w:p>
      <w:pPr>
        <w:spacing w:line="380" w:lineRule="exact"/>
        <w:ind w:firstLine="420" w:firstLineChars="200"/>
        <w:textAlignment w:val="baseline"/>
        <w:rPr>
          <w:rFonts w:ascii="宋体" w:hAnsi="宋体" w:cs="宋体"/>
          <w:sz w:val="20"/>
          <w:szCs w:val="21"/>
        </w:rPr>
      </w:pPr>
      <w:r>
        <w:rPr>
          <w:rFonts w:ascii="宋体" w:hAnsi="宋体" w:cs="宋体"/>
          <w:szCs w:val="21"/>
        </w:rPr>
        <w:t>2</w:t>
      </w:r>
      <w:r>
        <w:rPr>
          <w:rFonts w:hint="eastAsia" w:ascii="宋体" w:hAnsi="宋体" w:cs="宋体"/>
          <w:szCs w:val="21"/>
          <w:lang w:val="en-US" w:eastAsia="zh-CN"/>
        </w:rPr>
        <w:t>5</w:t>
      </w:r>
      <w:r>
        <w:rPr>
          <w:rFonts w:ascii="宋体" w:hAnsi="宋体" w:cs="宋体"/>
          <w:szCs w:val="21"/>
        </w:rPr>
        <w:t>.</w:t>
      </w:r>
      <w:r>
        <w:rPr>
          <w:rFonts w:hint="eastAsia" w:ascii="宋体" w:hAnsi="宋体" w:cs="宋体"/>
          <w:szCs w:val="21"/>
        </w:rPr>
        <w:t>评审时，磋商小组各成员应当独立对每个有效响应的文件进行评价、打分，然后汇总每个供应商每项评分因素的得分。</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（1）磋商小组按照竞争性磋商文件中规定的评审标准计算各供应商的得分。</w:t>
      </w:r>
    </w:p>
    <w:p>
      <w:pPr>
        <w:spacing w:line="380" w:lineRule="exact"/>
        <w:ind w:firstLine="420" w:firstLineChars="200"/>
        <w:textAlignment w:val="baseline"/>
        <w:rPr>
          <w:rFonts w:ascii="宋体" w:hAnsi="宋体" w:cs="宋体"/>
          <w:sz w:val="20"/>
          <w:szCs w:val="21"/>
        </w:rPr>
      </w:pPr>
      <w:r>
        <w:rPr>
          <w:rFonts w:hint="eastAsia" w:ascii="宋体" w:hAnsi="宋体" w:cs="宋体"/>
          <w:szCs w:val="21"/>
        </w:rPr>
        <w:t>（2）各供应商的得分为磋商小组所有成员的有效评分的算术平均数。</w:t>
      </w:r>
    </w:p>
    <w:p>
      <w:pPr>
        <w:spacing w:line="380" w:lineRule="exact"/>
        <w:ind w:firstLine="422" w:firstLineChars="200"/>
        <w:textAlignment w:val="baseline"/>
        <w:rPr>
          <w:rFonts w:ascii="宋体" w:hAnsi="宋体" w:cs="宋体"/>
          <w:b/>
          <w:sz w:val="20"/>
          <w:szCs w:val="21"/>
        </w:rPr>
      </w:pPr>
      <w:bookmarkStart w:id="106" w:name="_GoBack"/>
      <w:bookmarkEnd w:id="106"/>
      <w:r>
        <w:rPr>
          <w:rFonts w:hint="eastAsia" w:ascii="宋体" w:hAnsi="宋体" w:cs="宋体"/>
          <w:b/>
          <w:szCs w:val="21"/>
        </w:rPr>
        <w:t>二、评审标准</w:t>
      </w:r>
    </w:p>
    <w:p>
      <w:pPr>
        <w:pStyle w:val="27"/>
        <w:tabs>
          <w:tab w:val="left" w:pos="7513"/>
        </w:tabs>
        <w:spacing w:line="380" w:lineRule="exact"/>
        <w:ind w:firstLine="420" w:firstLineChars="200"/>
        <w:textAlignment w:val="baseline"/>
        <w:rPr>
          <w:rFonts w:hAnsi="宋体"/>
          <w:b/>
          <w:bCs/>
          <w:sz w:val="21"/>
        </w:rPr>
      </w:pPr>
      <w:r>
        <w:rPr>
          <w:rFonts w:hint="eastAsia" w:ascii="Times New Roman" w:hAnsi="宋体"/>
          <w:bCs/>
          <w:kern w:val="2"/>
          <w:sz w:val="21"/>
          <w:szCs w:val="24"/>
        </w:rPr>
        <w:t>评审依据：磋商小组将以磋商响应文件为评审依据，对供应商的技术、售后服务、商务等方面内容按百分制打分。（计分方法按四舍五入取至百分位）</w:t>
      </w:r>
    </w:p>
    <w:tbl>
      <w:tblPr>
        <w:tblStyle w:val="51"/>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8" w:type="dxa"/>
            <w:vAlign w:val="center"/>
          </w:tcPr>
          <w:p>
            <w:pPr>
              <w:adjustRightInd w:val="0"/>
              <w:snapToGrid w:val="0"/>
              <w:spacing w:line="400" w:lineRule="exact"/>
              <w:jc w:val="center"/>
              <w:rPr>
                <w:rFonts w:asciiTheme="minorEastAsia" w:hAnsiTheme="minorEastAsia" w:eastAsiaTheme="minorEastAsia"/>
                <w:b/>
                <w:szCs w:val="21"/>
              </w:rPr>
            </w:pPr>
            <w:r>
              <w:rPr>
                <w:rFonts w:asciiTheme="minorEastAsia" w:hAnsiTheme="minorEastAsia" w:eastAsiaTheme="minorEastAsia"/>
                <w:b/>
                <w:szCs w:val="21"/>
              </w:rPr>
              <w:t>评定项目</w:t>
            </w:r>
          </w:p>
        </w:tc>
        <w:tc>
          <w:tcPr>
            <w:tcW w:w="7218" w:type="dxa"/>
            <w:vAlign w:val="center"/>
          </w:tcPr>
          <w:p>
            <w:pPr>
              <w:adjustRightInd w:val="0"/>
              <w:snapToGrid w:val="0"/>
              <w:spacing w:line="400" w:lineRule="exact"/>
              <w:jc w:val="center"/>
              <w:rPr>
                <w:rFonts w:asciiTheme="minorEastAsia" w:hAnsiTheme="minorEastAsia" w:eastAsiaTheme="minorEastAsia"/>
                <w:b/>
                <w:szCs w:val="21"/>
              </w:rPr>
            </w:pPr>
            <w:r>
              <w:rPr>
                <w:rFonts w:asciiTheme="minorEastAsia" w:hAnsiTheme="minorEastAsia" w:eastAsiaTheme="minorEastAsia"/>
                <w:b/>
                <w:szCs w:val="21"/>
              </w:rPr>
              <w:t>评分界定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76" w:type="dxa"/>
            <w:gridSpan w:val="2"/>
            <w:vAlign w:val="center"/>
          </w:tcPr>
          <w:p>
            <w:pPr>
              <w:adjustRightInd w:val="0"/>
              <w:snapToGrid w:val="0"/>
              <w:spacing w:line="400" w:lineRule="exact"/>
              <w:jc w:val="left"/>
              <w:rPr>
                <w:rFonts w:asciiTheme="minorEastAsia" w:hAnsiTheme="minorEastAsia" w:eastAsiaTheme="minorEastAsia"/>
                <w:szCs w:val="21"/>
              </w:rPr>
            </w:pPr>
            <w:r>
              <w:rPr>
                <w:rFonts w:hint="eastAsia" w:asciiTheme="minorEastAsia" w:hAnsiTheme="minorEastAsia" w:eastAsiaTheme="minorEastAsia"/>
                <w:b/>
                <w:szCs w:val="21"/>
              </w:rPr>
              <w:t>1、</w:t>
            </w:r>
            <w:r>
              <w:rPr>
                <w:rFonts w:hint="eastAsia" w:asciiTheme="minorEastAsia" w:hAnsiTheme="minorEastAsia" w:eastAsiaTheme="minorEastAsia"/>
                <w:b/>
                <w:bCs/>
                <w:szCs w:val="21"/>
              </w:rPr>
              <w:t>技术分</w:t>
            </w:r>
            <w:r>
              <w:rPr>
                <w:rFonts w:hint="eastAsia" w:asciiTheme="minorEastAsia" w:hAnsiTheme="minorEastAsia" w:eastAsiaTheme="minorEastAsia"/>
                <w:b/>
                <w:szCs w:val="21"/>
              </w:rPr>
              <w:t>（</w:t>
            </w:r>
            <w:r>
              <w:rPr>
                <w:rFonts w:asciiTheme="minorEastAsia" w:hAnsiTheme="minorEastAsia" w:eastAsiaTheme="minorEastAsia"/>
                <w:b/>
                <w:szCs w:val="21"/>
              </w:rPr>
              <w:t>70</w:t>
            </w:r>
            <w:r>
              <w:rPr>
                <w:rFonts w:hint="eastAsia" w:asciiTheme="minorEastAsia" w:hAnsiTheme="minorEastAsia" w:eastAsia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8" w:type="dxa"/>
            <w:vAlign w:val="center"/>
          </w:tcPr>
          <w:p>
            <w:pPr>
              <w:adjustRightInd w:val="0"/>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（1）服务承诺分（</w:t>
            </w:r>
            <w:r>
              <w:rPr>
                <w:rFonts w:asciiTheme="minorEastAsia" w:hAnsiTheme="minorEastAsia" w:eastAsiaTheme="minorEastAsia"/>
                <w:b/>
                <w:szCs w:val="21"/>
              </w:rPr>
              <w:t>9</w:t>
            </w:r>
            <w:r>
              <w:rPr>
                <w:rFonts w:hint="eastAsia" w:asciiTheme="minorEastAsia" w:hAnsiTheme="minorEastAsia" w:eastAsiaTheme="minorEastAsia"/>
                <w:b/>
                <w:szCs w:val="21"/>
              </w:rPr>
              <w:t>分）</w:t>
            </w:r>
          </w:p>
        </w:tc>
        <w:tc>
          <w:tcPr>
            <w:tcW w:w="7218" w:type="dxa"/>
            <w:vAlign w:val="center"/>
          </w:tcPr>
          <w:p>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一档（</w:t>
            </w:r>
            <w:r>
              <w:rPr>
                <w:rFonts w:asciiTheme="minorEastAsia" w:hAnsiTheme="minorEastAsia" w:eastAsiaTheme="minorEastAsia"/>
                <w:szCs w:val="21"/>
              </w:rPr>
              <w:t>0.1-3</w:t>
            </w:r>
            <w:r>
              <w:rPr>
                <w:rFonts w:hint="eastAsia" w:asciiTheme="minorEastAsia" w:hAnsiTheme="minorEastAsia" w:eastAsiaTheme="minorEastAsia"/>
                <w:szCs w:val="21"/>
              </w:rPr>
              <w:t>分）：服务实施方案可行性较差，针对性不强；基本满足采购人食堂服务要求，对接待任务要求反应差，没有制定有针对性的实施方案。</w:t>
            </w:r>
          </w:p>
          <w:p>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二档（</w:t>
            </w:r>
            <w:r>
              <w:rPr>
                <w:rFonts w:asciiTheme="minorEastAsia" w:hAnsiTheme="minorEastAsia" w:eastAsiaTheme="minorEastAsia"/>
                <w:szCs w:val="21"/>
              </w:rPr>
              <w:t>3.1-6</w:t>
            </w:r>
            <w:r>
              <w:rPr>
                <w:rFonts w:hint="eastAsia" w:asciiTheme="minorEastAsia" w:hAnsiTheme="minorEastAsia" w:eastAsiaTheme="minorEastAsia"/>
                <w:szCs w:val="21"/>
              </w:rPr>
              <w:t>分）：服务实施方案可行性一般，针对性一般，作业流程较为简单，未对采购人现有的食堂的工作要求提出合理化建议或建议不合理；尚能满足采购人食堂正常供应要求，对接待任务要求反应一般，制定有一套实施方案但方案简单。</w:t>
            </w:r>
          </w:p>
          <w:p>
            <w:pPr>
              <w:adjustRightInd w:val="0"/>
              <w:snapToGrid w:val="0"/>
              <w:spacing w:line="400" w:lineRule="exact"/>
              <w:ind w:firstLine="420" w:firstLineChars="200"/>
              <w:jc w:val="left"/>
              <w:rPr>
                <w:rFonts w:cs="Arial" w:asciiTheme="minorEastAsia" w:hAnsiTheme="minorEastAsia" w:eastAsiaTheme="minorEastAsia"/>
                <w:szCs w:val="21"/>
              </w:rPr>
            </w:pPr>
            <w:r>
              <w:rPr>
                <w:rFonts w:hint="eastAsia" w:asciiTheme="minorEastAsia" w:hAnsiTheme="minorEastAsia" w:eastAsiaTheme="minorEastAsia"/>
                <w:szCs w:val="21"/>
              </w:rPr>
              <w:t>三档（</w:t>
            </w:r>
            <w:r>
              <w:rPr>
                <w:rFonts w:asciiTheme="minorEastAsia" w:hAnsiTheme="minorEastAsia" w:eastAsiaTheme="minorEastAsia"/>
                <w:szCs w:val="21"/>
              </w:rPr>
              <w:t>6.1-9</w:t>
            </w:r>
            <w:r>
              <w:rPr>
                <w:rFonts w:hint="eastAsia" w:asciiTheme="minorEastAsia" w:hAnsiTheme="minorEastAsia" w:eastAsiaTheme="minorEastAsia"/>
                <w:szCs w:val="21"/>
              </w:rPr>
              <w:t>分）：服务实施方案可行性强，有较强的针对性，有具体的作业流程，对采购人现有的食堂的工作要求能提出合理化建议；满足采购人食堂正常供应要求，对接待任务要求反应迅速，并制定有针对性的实施方案，能较好按时完成服务任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8" w:type="dxa"/>
            <w:vAlign w:val="center"/>
          </w:tcPr>
          <w:p>
            <w:pPr>
              <w:adjustRightInd w:val="0"/>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w:t>
            </w:r>
            <w:r>
              <w:rPr>
                <w:rFonts w:asciiTheme="minorEastAsia" w:hAnsiTheme="minorEastAsia" w:eastAsiaTheme="minorEastAsia"/>
                <w:b/>
                <w:szCs w:val="21"/>
              </w:rPr>
              <w:t>2</w:t>
            </w:r>
            <w:r>
              <w:rPr>
                <w:rFonts w:hint="eastAsia" w:asciiTheme="minorEastAsia" w:hAnsiTheme="minorEastAsia" w:eastAsiaTheme="minorEastAsia"/>
                <w:b/>
                <w:szCs w:val="21"/>
              </w:rPr>
              <w:t>）服务经营方案分（</w:t>
            </w:r>
            <w:r>
              <w:rPr>
                <w:rFonts w:asciiTheme="minorEastAsia" w:hAnsiTheme="minorEastAsia" w:eastAsiaTheme="minorEastAsia"/>
                <w:b/>
                <w:szCs w:val="21"/>
              </w:rPr>
              <w:t>9</w:t>
            </w:r>
            <w:r>
              <w:rPr>
                <w:rFonts w:hint="eastAsia" w:asciiTheme="minorEastAsia" w:hAnsiTheme="minorEastAsia" w:eastAsiaTheme="minorEastAsia"/>
                <w:b/>
                <w:szCs w:val="21"/>
              </w:rPr>
              <w:t>分）</w:t>
            </w:r>
          </w:p>
        </w:tc>
        <w:tc>
          <w:tcPr>
            <w:tcW w:w="7218" w:type="dxa"/>
            <w:vAlign w:val="center"/>
          </w:tcPr>
          <w:p>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一档（0.1-3分）：方案内容简单，可行性较差，针对性不强、无针对性。</w:t>
            </w:r>
          </w:p>
          <w:p>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二档（3.1-6分）：方案较完善、可行，有简单的作业流程，未对采购人现有的食堂的工作要求提出合理化建议。</w:t>
            </w:r>
          </w:p>
          <w:p>
            <w:pPr>
              <w:adjustRightInd w:val="0"/>
              <w:snapToGrid w:val="0"/>
              <w:spacing w:line="400" w:lineRule="exact"/>
              <w:ind w:firstLine="420" w:firstLineChars="200"/>
              <w:jc w:val="left"/>
              <w:rPr>
                <w:rFonts w:cs="Arial" w:asciiTheme="minorEastAsia" w:hAnsiTheme="minorEastAsia" w:eastAsiaTheme="minorEastAsia"/>
                <w:szCs w:val="21"/>
              </w:rPr>
            </w:pPr>
            <w:r>
              <w:rPr>
                <w:rFonts w:hint="eastAsia" w:asciiTheme="minorEastAsia" w:hAnsiTheme="minorEastAsia" w:eastAsiaTheme="minorEastAsia"/>
                <w:szCs w:val="21"/>
              </w:rPr>
              <w:t>三档（6.1-9分）：工作方案完善、可行，计划详细具体，有较强的针对性，有具体的作业流程，</w:t>
            </w:r>
            <w:r>
              <w:rPr>
                <w:rFonts w:asciiTheme="minorEastAsia" w:hAnsiTheme="minorEastAsia" w:eastAsiaTheme="minorEastAsia"/>
                <w:szCs w:val="21"/>
              </w:rPr>
              <w:t>对于食堂承接后的</w:t>
            </w:r>
            <w:r>
              <w:rPr>
                <w:rFonts w:hint="eastAsia" w:asciiTheme="minorEastAsia" w:hAnsiTheme="minorEastAsia" w:eastAsiaTheme="minorEastAsia"/>
                <w:szCs w:val="21"/>
              </w:rPr>
              <w:t>装修</w:t>
            </w:r>
            <w:r>
              <w:rPr>
                <w:rFonts w:asciiTheme="minorEastAsia" w:hAnsiTheme="minorEastAsia" w:eastAsiaTheme="minorEastAsia"/>
                <w:szCs w:val="21"/>
              </w:rPr>
              <w:t>及设备有相关的方案</w:t>
            </w:r>
            <w:r>
              <w:rPr>
                <w:rFonts w:hint="eastAsia" w:asciiTheme="minorEastAsia" w:hAnsiTheme="minorEastAsia" w:eastAsiaTheme="minorEastAsia"/>
                <w:szCs w:val="21"/>
              </w:rPr>
              <w:t>，服务质量有保证，完全满足采购人食堂正常供应要求。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8" w:type="dxa"/>
            <w:vAlign w:val="center"/>
          </w:tcPr>
          <w:p>
            <w:pPr>
              <w:adjustRightInd w:val="0"/>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w:t>
            </w:r>
            <w:r>
              <w:rPr>
                <w:rFonts w:asciiTheme="minorEastAsia" w:hAnsiTheme="minorEastAsia" w:eastAsiaTheme="minorEastAsia"/>
                <w:b/>
                <w:szCs w:val="21"/>
              </w:rPr>
              <w:t>3</w:t>
            </w:r>
            <w:r>
              <w:rPr>
                <w:rFonts w:hint="eastAsia" w:asciiTheme="minorEastAsia" w:hAnsiTheme="minorEastAsia" w:eastAsiaTheme="minorEastAsia"/>
                <w:b/>
                <w:szCs w:val="21"/>
              </w:rPr>
              <w:t>）投入人员安排合理及有工资计划（</w:t>
            </w:r>
            <w:r>
              <w:rPr>
                <w:rFonts w:asciiTheme="minorEastAsia" w:hAnsiTheme="minorEastAsia" w:eastAsiaTheme="minorEastAsia"/>
                <w:b/>
                <w:szCs w:val="21"/>
              </w:rPr>
              <w:t>9</w:t>
            </w:r>
            <w:r>
              <w:rPr>
                <w:rFonts w:hint="eastAsia" w:asciiTheme="minorEastAsia" w:hAnsiTheme="minorEastAsia" w:eastAsiaTheme="minorEastAsia"/>
                <w:b/>
                <w:szCs w:val="21"/>
              </w:rPr>
              <w:t>分）</w:t>
            </w:r>
          </w:p>
        </w:tc>
        <w:tc>
          <w:tcPr>
            <w:tcW w:w="7218" w:type="dxa"/>
            <w:vAlign w:val="center"/>
          </w:tcPr>
          <w:p>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一档（0.1-3分）：管理人员、厨师和服务人员人数符合要求，且配备较合理，提供了用工承诺方案。</w:t>
            </w:r>
          </w:p>
          <w:p>
            <w:pPr>
              <w:adjustRightInd w:val="0"/>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二档（3.1-6分）：组织管理体系较科学，能有效实施管理工作，管理人员、厨师和服务人员人数能较好</w:t>
            </w:r>
            <w:r>
              <w:rPr>
                <w:rFonts w:asciiTheme="minorEastAsia" w:hAnsiTheme="minorEastAsia" w:eastAsiaTheme="minorEastAsia"/>
                <w:szCs w:val="21"/>
              </w:rPr>
              <w:t>满足</w:t>
            </w:r>
            <w:r>
              <w:rPr>
                <w:rFonts w:hint="eastAsia" w:asciiTheme="minorEastAsia" w:hAnsiTheme="minorEastAsia" w:eastAsiaTheme="minorEastAsia"/>
                <w:szCs w:val="21"/>
              </w:rPr>
              <w:t>要求，且配备合理，提供了用工承诺方案。</w:t>
            </w:r>
          </w:p>
          <w:p>
            <w:pPr>
              <w:adjustRightInd w:val="0"/>
              <w:snapToGrid w:val="0"/>
              <w:spacing w:line="400" w:lineRule="exact"/>
              <w:ind w:firstLine="420" w:firstLineChars="200"/>
              <w:jc w:val="left"/>
              <w:rPr>
                <w:rFonts w:cs="Arial" w:asciiTheme="minorEastAsia" w:hAnsiTheme="minorEastAsia" w:eastAsiaTheme="minorEastAsia"/>
                <w:szCs w:val="21"/>
              </w:rPr>
            </w:pPr>
            <w:r>
              <w:rPr>
                <w:rFonts w:hint="eastAsia" w:asciiTheme="minorEastAsia" w:hAnsiTheme="minorEastAsia" w:eastAsiaTheme="minorEastAsia"/>
                <w:szCs w:val="21"/>
              </w:rPr>
              <w:t>三档（6.1-9分）：有食品安全管理人员岗位责任制，组织管理体系科学合理，能有效实施管理工作，提供有效管理网络图；组织机构配备齐全，管理人员、厨师和服务人员人数能很好</w:t>
            </w:r>
            <w:r>
              <w:rPr>
                <w:rFonts w:asciiTheme="minorEastAsia" w:hAnsiTheme="minorEastAsia" w:eastAsiaTheme="minorEastAsia"/>
                <w:szCs w:val="21"/>
              </w:rPr>
              <w:t>满足</w:t>
            </w:r>
            <w:r>
              <w:rPr>
                <w:rFonts w:hint="eastAsia" w:asciiTheme="minorEastAsia" w:hAnsiTheme="minorEastAsia" w:eastAsiaTheme="minorEastAsia"/>
                <w:szCs w:val="21"/>
              </w:rPr>
              <w:t>采购人</w:t>
            </w:r>
            <w:r>
              <w:rPr>
                <w:rFonts w:asciiTheme="minorEastAsia" w:hAnsiTheme="minorEastAsia" w:eastAsiaTheme="minorEastAsia"/>
                <w:szCs w:val="21"/>
              </w:rPr>
              <w:t>要求</w:t>
            </w:r>
            <w:r>
              <w:rPr>
                <w:rFonts w:hint="eastAsia" w:asciiTheme="minorEastAsia" w:hAnsiTheme="minorEastAsia" w:eastAsiaTheme="minorEastAsia"/>
                <w:szCs w:val="21"/>
              </w:rPr>
              <w:t>，且配备合理，提供了用工承诺方案。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8" w:type="dxa"/>
            <w:vAlign w:val="center"/>
          </w:tcPr>
          <w:p>
            <w:pPr>
              <w:adjustRightInd w:val="0"/>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（4）规章制度、管理措施分（</w:t>
            </w:r>
            <w:r>
              <w:rPr>
                <w:rFonts w:asciiTheme="minorEastAsia" w:hAnsiTheme="minorEastAsia" w:eastAsiaTheme="minorEastAsia"/>
                <w:b/>
                <w:szCs w:val="21"/>
              </w:rPr>
              <w:t>9</w:t>
            </w:r>
            <w:r>
              <w:rPr>
                <w:rFonts w:hint="eastAsia" w:asciiTheme="minorEastAsia" w:hAnsiTheme="minorEastAsia" w:eastAsiaTheme="minorEastAsia"/>
                <w:b/>
                <w:szCs w:val="21"/>
              </w:rPr>
              <w:t>分）</w:t>
            </w:r>
          </w:p>
        </w:tc>
        <w:tc>
          <w:tcPr>
            <w:tcW w:w="7218" w:type="dxa"/>
            <w:vAlign w:val="center"/>
          </w:tcPr>
          <w:p>
            <w:pPr>
              <w:autoSpaceDE w:val="0"/>
              <w:autoSpaceDN w:val="0"/>
              <w:adjustRightInd w:val="0"/>
              <w:spacing w:line="400" w:lineRule="exact"/>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一档（</w:t>
            </w:r>
            <w:r>
              <w:rPr>
                <w:rFonts w:hint="eastAsia" w:asciiTheme="minorEastAsia" w:hAnsiTheme="minorEastAsia" w:eastAsiaTheme="minorEastAsia"/>
                <w:szCs w:val="21"/>
              </w:rPr>
              <w:t>0.1-3分</w:t>
            </w:r>
            <w:r>
              <w:rPr>
                <w:rFonts w:hint="eastAsia" w:cs="Arial" w:asciiTheme="minorEastAsia" w:hAnsiTheme="minorEastAsia" w:eastAsiaTheme="minorEastAsia"/>
                <w:szCs w:val="21"/>
              </w:rPr>
              <w:t>）：有简单的规章制度单描述。</w:t>
            </w:r>
          </w:p>
          <w:p>
            <w:pPr>
              <w:autoSpaceDE w:val="0"/>
              <w:autoSpaceDN w:val="0"/>
              <w:adjustRightInd w:val="0"/>
              <w:spacing w:line="400" w:lineRule="exact"/>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二档（</w:t>
            </w:r>
            <w:r>
              <w:rPr>
                <w:rFonts w:hint="eastAsia" w:asciiTheme="minorEastAsia" w:hAnsiTheme="minorEastAsia" w:eastAsiaTheme="minorEastAsia"/>
                <w:szCs w:val="21"/>
              </w:rPr>
              <w:t>3.1-6分</w:t>
            </w:r>
            <w:r>
              <w:rPr>
                <w:rFonts w:hint="eastAsia" w:cs="Arial" w:asciiTheme="minorEastAsia" w:hAnsiTheme="minorEastAsia" w:eastAsiaTheme="minorEastAsia"/>
                <w:szCs w:val="21"/>
              </w:rPr>
              <w:t>）：能确保食品安全，能组织卫生管理与保障。</w:t>
            </w:r>
          </w:p>
          <w:p>
            <w:pPr>
              <w:adjustRightInd w:val="0"/>
              <w:snapToGrid w:val="0"/>
              <w:spacing w:line="400" w:lineRule="exact"/>
              <w:ind w:firstLine="420" w:firstLineChars="200"/>
              <w:jc w:val="left"/>
              <w:rPr>
                <w:rFonts w:asciiTheme="minorEastAsia" w:hAnsiTheme="minorEastAsia" w:eastAsiaTheme="minorEastAsia"/>
                <w:szCs w:val="21"/>
              </w:rPr>
            </w:pPr>
            <w:r>
              <w:rPr>
                <w:rFonts w:hint="eastAsia" w:cs="Arial" w:asciiTheme="minorEastAsia" w:hAnsiTheme="minorEastAsia" w:eastAsiaTheme="minorEastAsia"/>
                <w:szCs w:val="21"/>
              </w:rPr>
              <w:t>三档（</w:t>
            </w:r>
            <w:r>
              <w:rPr>
                <w:rFonts w:hint="eastAsia" w:asciiTheme="minorEastAsia" w:hAnsiTheme="minorEastAsia" w:eastAsiaTheme="minorEastAsia"/>
                <w:szCs w:val="21"/>
              </w:rPr>
              <w:t>6.1-9分</w:t>
            </w:r>
            <w:r>
              <w:rPr>
                <w:rFonts w:hint="eastAsia" w:cs="Arial" w:asciiTheme="minorEastAsia" w:hAnsiTheme="minorEastAsia" w:eastAsiaTheme="minorEastAsia"/>
                <w:szCs w:val="21"/>
              </w:rPr>
              <w:t>）：能确保食品安全，能组织卫生管理与保障，规章制度明确规范，制度全面，有针对性、可行性。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8" w:type="dxa"/>
            <w:vAlign w:val="center"/>
          </w:tcPr>
          <w:p>
            <w:pPr>
              <w:adjustRightInd w:val="0"/>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（5）突发事件应急预案分（</w:t>
            </w:r>
            <w:r>
              <w:rPr>
                <w:rFonts w:asciiTheme="minorEastAsia" w:hAnsiTheme="minorEastAsia" w:eastAsiaTheme="minorEastAsia"/>
                <w:b/>
                <w:szCs w:val="21"/>
              </w:rPr>
              <w:t>9</w:t>
            </w:r>
            <w:r>
              <w:rPr>
                <w:rFonts w:hint="eastAsia" w:asciiTheme="minorEastAsia" w:hAnsiTheme="minorEastAsia" w:eastAsiaTheme="minorEastAsia"/>
                <w:b/>
                <w:szCs w:val="21"/>
              </w:rPr>
              <w:t>分）</w:t>
            </w:r>
          </w:p>
        </w:tc>
        <w:tc>
          <w:tcPr>
            <w:tcW w:w="7218" w:type="dxa"/>
            <w:vAlign w:val="center"/>
          </w:tcPr>
          <w:p>
            <w:pPr>
              <w:autoSpaceDE w:val="0"/>
              <w:autoSpaceDN w:val="0"/>
              <w:adjustRightInd w:val="0"/>
              <w:spacing w:line="400" w:lineRule="exact"/>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一档（</w:t>
            </w:r>
            <w:r>
              <w:rPr>
                <w:rFonts w:hint="eastAsia" w:asciiTheme="minorEastAsia" w:hAnsiTheme="minorEastAsia" w:eastAsiaTheme="minorEastAsia"/>
                <w:szCs w:val="21"/>
              </w:rPr>
              <w:t>0.1-3分</w:t>
            </w:r>
            <w:r>
              <w:rPr>
                <w:rFonts w:hint="eastAsia" w:cs="Arial" w:asciiTheme="minorEastAsia" w:hAnsiTheme="minorEastAsia" w:eastAsiaTheme="minorEastAsia"/>
                <w:szCs w:val="21"/>
              </w:rPr>
              <w:t>）：对基本的停水停电情况有应对措施，保证正常供应餐食。</w:t>
            </w:r>
          </w:p>
          <w:p>
            <w:pPr>
              <w:autoSpaceDE w:val="0"/>
              <w:autoSpaceDN w:val="0"/>
              <w:adjustRightInd w:val="0"/>
              <w:spacing w:line="400" w:lineRule="exact"/>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二档（</w:t>
            </w:r>
            <w:r>
              <w:rPr>
                <w:rFonts w:hint="eastAsia" w:asciiTheme="minorEastAsia" w:hAnsiTheme="minorEastAsia" w:eastAsiaTheme="minorEastAsia"/>
                <w:szCs w:val="21"/>
              </w:rPr>
              <w:t>3.1-6分</w:t>
            </w:r>
            <w:r>
              <w:rPr>
                <w:rFonts w:hint="eastAsia" w:cs="Arial" w:asciiTheme="minorEastAsia" w:hAnsiTheme="minorEastAsia" w:eastAsiaTheme="minorEastAsia"/>
                <w:szCs w:val="21"/>
              </w:rPr>
              <w:t>）：食堂停水、停电膳食正常供应：每日储备用水，绝对保证膳食供应。仓库有足够一餐膳食的原料安全库存，以防止意外等造成的原料供应脱节。</w:t>
            </w:r>
          </w:p>
          <w:p>
            <w:pPr>
              <w:adjustRightInd w:val="0"/>
              <w:snapToGrid w:val="0"/>
              <w:spacing w:line="400" w:lineRule="exact"/>
              <w:ind w:firstLine="420" w:firstLineChars="200"/>
              <w:jc w:val="left"/>
              <w:rPr>
                <w:rFonts w:asciiTheme="minorEastAsia" w:hAnsiTheme="minorEastAsia" w:eastAsiaTheme="minorEastAsia"/>
                <w:szCs w:val="21"/>
              </w:rPr>
            </w:pPr>
            <w:r>
              <w:rPr>
                <w:rFonts w:hint="eastAsia" w:cs="Arial" w:asciiTheme="minorEastAsia" w:hAnsiTheme="minorEastAsia" w:eastAsiaTheme="minorEastAsia"/>
                <w:szCs w:val="21"/>
              </w:rPr>
              <w:t>三档（</w:t>
            </w:r>
            <w:r>
              <w:rPr>
                <w:rFonts w:hint="eastAsia" w:asciiTheme="minorEastAsia" w:hAnsiTheme="minorEastAsia" w:eastAsiaTheme="minorEastAsia"/>
                <w:szCs w:val="21"/>
              </w:rPr>
              <w:t>6.1-9分</w:t>
            </w:r>
            <w:r>
              <w:rPr>
                <w:rFonts w:hint="eastAsia" w:cs="Arial" w:asciiTheme="minorEastAsia" w:hAnsiTheme="minorEastAsia" w:eastAsiaTheme="minorEastAsia"/>
                <w:szCs w:val="21"/>
              </w:rPr>
              <w:t>）：满足二档基础上，制定详细的爆炸、起火、食物中毒等突发事件处理应急预案，食堂全体人员进行消防培训，并成立消防小组。有当遇到重大供餐任务时，如大型活动、接待、培训等供餐，东博会会期的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8" w:type="dxa"/>
            <w:vAlign w:val="center"/>
          </w:tcPr>
          <w:p>
            <w:pPr>
              <w:adjustRightInd w:val="0"/>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（6）人员</w:t>
            </w:r>
            <w:r>
              <w:rPr>
                <w:rFonts w:asciiTheme="minorEastAsia" w:hAnsiTheme="minorEastAsia" w:eastAsiaTheme="minorEastAsia"/>
                <w:b/>
                <w:szCs w:val="21"/>
              </w:rPr>
              <w:t>、</w:t>
            </w:r>
            <w:r>
              <w:rPr>
                <w:rFonts w:hint="eastAsia" w:asciiTheme="minorEastAsia" w:hAnsiTheme="minorEastAsia" w:eastAsiaTheme="minorEastAsia"/>
                <w:b/>
                <w:szCs w:val="21"/>
              </w:rPr>
              <w:t>厨师等级配备情况分（</w:t>
            </w:r>
            <w:r>
              <w:rPr>
                <w:rFonts w:asciiTheme="minorEastAsia" w:hAnsiTheme="minorEastAsia" w:eastAsiaTheme="minorEastAsia"/>
                <w:b/>
                <w:szCs w:val="21"/>
              </w:rPr>
              <w:t>11</w:t>
            </w:r>
            <w:r>
              <w:rPr>
                <w:rFonts w:hint="eastAsia" w:asciiTheme="minorEastAsia" w:hAnsiTheme="minorEastAsia" w:eastAsiaTheme="minorEastAsia"/>
                <w:b/>
                <w:szCs w:val="21"/>
              </w:rPr>
              <w:t>分）</w:t>
            </w:r>
          </w:p>
        </w:tc>
        <w:tc>
          <w:tcPr>
            <w:tcW w:w="7218" w:type="dxa"/>
            <w:vAlign w:val="center"/>
          </w:tcPr>
          <w:p>
            <w:pPr>
              <w:autoSpaceDE w:val="0"/>
              <w:autoSpaceDN w:val="0"/>
              <w:adjustRightIn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①拟投入的餐厅厨师具有四级（中级）厨师的，每有1名得0.5分；具有三级（高级）厨师的，每有1名得0.8分；具有二级（技师）或以上厨师的，每有1名得1分；满分3分【响应文件</w:t>
            </w:r>
            <w:r>
              <w:rPr>
                <w:rFonts w:asciiTheme="minorEastAsia" w:hAnsiTheme="minorEastAsia" w:eastAsiaTheme="minorEastAsia"/>
                <w:szCs w:val="21"/>
              </w:rPr>
              <w:t>中提供证书复印件</w:t>
            </w:r>
            <w:r>
              <w:rPr>
                <w:rFonts w:hint="eastAsia" w:asciiTheme="minorEastAsia" w:hAnsiTheme="minorEastAsia" w:eastAsiaTheme="minorEastAsia"/>
                <w:szCs w:val="21"/>
              </w:rPr>
              <w:t>，原件备查，否则不予计分】；</w:t>
            </w:r>
          </w:p>
          <w:p>
            <w:pPr>
              <w:autoSpaceDE w:val="0"/>
              <w:autoSpaceDN w:val="0"/>
              <w:adjustRightIn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②拟投入的餐厅厨师有承包食堂（就餐人数500人以上）二年以上工作经验的得2分；有承包食堂（就餐人数500人以下）二年以上工作经验的得1分。【必须在响应文件中提供服务单位能体现就餐人数和服务年限的证明材料并加盖供应商单位章，原件备查，否则不予计分】；</w:t>
            </w:r>
          </w:p>
          <w:p>
            <w:pPr>
              <w:autoSpaceDE w:val="0"/>
              <w:autoSpaceDN w:val="0"/>
              <w:adjustRightIn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拟配备厨师应为供应商正式在册员工，须提供供应商在响应文件递交截止时间前半年内任意1个月的为其缴纳的社保证明材料。响应文件提供厨师资质（资格）证书复印件。</w:t>
            </w:r>
          </w:p>
          <w:p>
            <w:pPr>
              <w:autoSpaceDE w:val="0"/>
              <w:autoSpaceDN w:val="0"/>
              <w:adjustRightIn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③拟投入的餐厅工作人员有具备相应餐饮服务食品安全培训合格证及卫生知识培训合格证</w:t>
            </w:r>
            <w:r>
              <w:rPr>
                <w:rFonts w:asciiTheme="minorEastAsia" w:hAnsiTheme="minorEastAsia" w:eastAsiaTheme="minorEastAsia"/>
                <w:szCs w:val="21"/>
              </w:rPr>
              <w:t>的</w:t>
            </w:r>
            <w:r>
              <w:rPr>
                <w:rFonts w:hint="eastAsia" w:asciiTheme="minorEastAsia" w:hAnsiTheme="minorEastAsia" w:eastAsiaTheme="minorEastAsia"/>
                <w:szCs w:val="21"/>
              </w:rPr>
              <w:t>，每个得0.</w:t>
            </w:r>
            <w:r>
              <w:rPr>
                <w:rFonts w:asciiTheme="minorEastAsia" w:hAnsiTheme="minorEastAsia" w:eastAsiaTheme="minorEastAsia"/>
                <w:szCs w:val="21"/>
              </w:rPr>
              <w:t>25</w:t>
            </w:r>
            <w:r>
              <w:rPr>
                <w:rFonts w:hint="eastAsia" w:asciiTheme="minorEastAsia" w:hAnsiTheme="minorEastAsia" w:eastAsiaTheme="minorEastAsia"/>
                <w:szCs w:val="21"/>
              </w:rPr>
              <w:t>分</w:t>
            </w:r>
            <w:r>
              <w:rPr>
                <w:rFonts w:asciiTheme="minorEastAsia" w:hAnsiTheme="minorEastAsia" w:eastAsiaTheme="minorEastAsia"/>
                <w:szCs w:val="21"/>
              </w:rPr>
              <w:t>，满分4</w:t>
            </w:r>
            <w:r>
              <w:rPr>
                <w:rFonts w:hint="eastAsia" w:asciiTheme="minorEastAsia" w:hAnsiTheme="minorEastAsia" w:eastAsiaTheme="minorEastAsia"/>
                <w:szCs w:val="21"/>
              </w:rPr>
              <w:t>分【响应文件</w:t>
            </w:r>
            <w:r>
              <w:rPr>
                <w:rFonts w:asciiTheme="minorEastAsia" w:hAnsiTheme="minorEastAsia" w:eastAsiaTheme="minorEastAsia"/>
                <w:szCs w:val="21"/>
              </w:rPr>
              <w:t>中提供</w:t>
            </w:r>
            <w:r>
              <w:rPr>
                <w:rFonts w:hint="eastAsia" w:asciiTheme="minorEastAsia" w:hAnsiTheme="minorEastAsia" w:eastAsiaTheme="minorEastAsia"/>
                <w:szCs w:val="21"/>
              </w:rPr>
              <w:t>健康</w:t>
            </w:r>
            <w:r>
              <w:rPr>
                <w:rFonts w:asciiTheme="minorEastAsia" w:hAnsiTheme="minorEastAsia" w:eastAsiaTheme="minorEastAsia"/>
                <w:szCs w:val="21"/>
              </w:rPr>
              <w:t>证及培训</w:t>
            </w:r>
            <w:r>
              <w:rPr>
                <w:rFonts w:hint="eastAsia" w:asciiTheme="minorEastAsia" w:hAnsiTheme="minorEastAsia" w:eastAsiaTheme="minorEastAsia"/>
                <w:szCs w:val="21"/>
              </w:rPr>
              <w:t>证</w:t>
            </w:r>
            <w:r>
              <w:rPr>
                <w:rFonts w:asciiTheme="minorEastAsia" w:hAnsiTheme="minorEastAsia" w:eastAsiaTheme="minorEastAsia"/>
                <w:szCs w:val="21"/>
              </w:rPr>
              <w:t>印件</w:t>
            </w:r>
            <w:r>
              <w:rPr>
                <w:rFonts w:hint="eastAsia" w:asciiTheme="minorEastAsia" w:hAnsiTheme="minorEastAsia" w:eastAsiaTheme="minorEastAsia"/>
                <w:szCs w:val="21"/>
              </w:rPr>
              <w:t>，原件备查，否则不予计分】；</w:t>
            </w:r>
          </w:p>
          <w:p>
            <w:pPr>
              <w:autoSpaceDE w:val="0"/>
              <w:autoSpaceDN w:val="0"/>
              <w:adjustRightIn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④拟投入本项目的项目经理（负责人）具有3-5年（不含）餐饮管理经验的，得</w:t>
            </w:r>
            <w:r>
              <w:rPr>
                <w:rFonts w:asciiTheme="minorEastAsia" w:hAnsiTheme="minorEastAsia" w:eastAsiaTheme="minorEastAsia"/>
                <w:szCs w:val="21"/>
              </w:rPr>
              <w:t>0.5</w:t>
            </w:r>
            <w:r>
              <w:rPr>
                <w:rFonts w:hint="eastAsia" w:asciiTheme="minorEastAsia" w:hAnsiTheme="minorEastAsia" w:eastAsiaTheme="minorEastAsia"/>
                <w:szCs w:val="21"/>
              </w:rPr>
              <w:t>分；具有5-8年（不含）餐饮管理经验的，得</w:t>
            </w:r>
            <w:r>
              <w:rPr>
                <w:rFonts w:asciiTheme="minorEastAsia" w:hAnsiTheme="minorEastAsia" w:eastAsiaTheme="minorEastAsia"/>
                <w:szCs w:val="21"/>
              </w:rPr>
              <w:t>1</w:t>
            </w:r>
            <w:r>
              <w:rPr>
                <w:rFonts w:hint="eastAsia" w:asciiTheme="minorEastAsia" w:hAnsiTheme="minorEastAsia" w:eastAsiaTheme="minorEastAsia"/>
                <w:szCs w:val="21"/>
              </w:rPr>
              <w:t>分；8年及以上的餐饮管理经验的，得</w:t>
            </w:r>
            <w:r>
              <w:rPr>
                <w:rFonts w:asciiTheme="minorEastAsia" w:hAnsiTheme="minorEastAsia" w:eastAsiaTheme="minorEastAsia"/>
                <w:szCs w:val="21"/>
              </w:rPr>
              <w:t>2</w:t>
            </w:r>
            <w:r>
              <w:rPr>
                <w:rFonts w:hint="eastAsia" w:asciiTheme="minorEastAsia" w:hAnsiTheme="minorEastAsia" w:eastAsiaTheme="minorEastAsia"/>
                <w:szCs w:val="21"/>
              </w:rPr>
              <w:t>分（注：必须在响应文件中提供相关经验证明材料，否则不予计分）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8" w:type="dxa"/>
            <w:vAlign w:val="center"/>
          </w:tcPr>
          <w:p>
            <w:pPr>
              <w:adjustRightInd w:val="0"/>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（7）专项菜谱分（</w:t>
            </w:r>
            <w:r>
              <w:rPr>
                <w:rFonts w:asciiTheme="minorEastAsia" w:hAnsiTheme="minorEastAsia" w:eastAsiaTheme="minorEastAsia"/>
                <w:b/>
                <w:szCs w:val="21"/>
              </w:rPr>
              <w:t>5</w:t>
            </w:r>
            <w:r>
              <w:rPr>
                <w:rFonts w:hint="eastAsia" w:asciiTheme="minorEastAsia" w:hAnsiTheme="minorEastAsia" w:eastAsiaTheme="minorEastAsia"/>
                <w:b/>
                <w:szCs w:val="21"/>
              </w:rPr>
              <w:t>分）</w:t>
            </w:r>
          </w:p>
        </w:tc>
        <w:tc>
          <w:tcPr>
            <w:tcW w:w="7218" w:type="dxa"/>
            <w:vAlign w:val="center"/>
          </w:tcPr>
          <w:p>
            <w:pPr>
              <w:autoSpaceDE w:val="0"/>
              <w:autoSpaceDN w:val="0"/>
              <w:adjustRightInd w:val="0"/>
              <w:spacing w:line="400" w:lineRule="exact"/>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①有拟投入采购人单位食堂专项菜谱的，根据各供应商所提供菜谱质量、特色、完整程度等进行综合评审和打分：</w:t>
            </w:r>
          </w:p>
          <w:p>
            <w:pPr>
              <w:autoSpaceDE w:val="0"/>
              <w:autoSpaceDN w:val="0"/>
              <w:adjustRightInd w:val="0"/>
              <w:spacing w:line="400" w:lineRule="exact"/>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一档（</w:t>
            </w:r>
            <w:r>
              <w:rPr>
                <w:rFonts w:hint="eastAsia" w:asciiTheme="minorEastAsia" w:hAnsiTheme="minorEastAsia" w:eastAsiaTheme="minorEastAsia"/>
                <w:szCs w:val="21"/>
              </w:rPr>
              <w:t>0.1-</w:t>
            </w:r>
            <w:r>
              <w:rPr>
                <w:rFonts w:asciiTheme="minorEastAsia" w:hAnsiTheme="minorEastAsia" w:eastAsiaTheme="minorEastAsia"/>
                <w:szCs w:val="21"/>
              </w:rPr>
              <w:t>1</w:t>
            </w:r>
            <w:r>
              <w:rPr>
                <w:rFonts w:hint="eastAsia" w:asciiTheme="minorEastAsia" w:hAnsiTheme="minorEastAsia" w:eastAsiaTheme="minorEastAsia"/>
                <w:szCs w:val="21"/>
              </w:rPr>
              <w:t>分</w:t>
            </w:r>
            <w:r>
              <w:rPr>
                <w:rFonts w:hint="eastAsia" w:cs="Arial" w:asciiTheme="minorEastAsia" w:hAnsiTheme="minorEastAsia" w:eastAsiaTheme="minorEastAsia"/>
                <w:szCs w:val="21"/>
              </w:rPr>
              <w:t>）：菜谱基本完整。</w:t>
            </w:r>
          </w:p>
          <w:p>
            <w:pPr>
              <w:autoSpaceDE w:val="0"/>
              <w:autoSpaceDN w:val="0"/>
              <w:adjustRightInd w:val="0"/>
              <w:spacing w:line="400" w:lineRule="exact"/>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二档（</w:t>
            </w:r>
            <w:r>
              <w:rPr>
                <w:rFonts w:asciiTheme="minorEastAsia" w:hAnsiTheme="minorEastAsia" w:eastAsiaTheme="minorEastAsia"/>
                <w:szCs w:val="21"/>
              </w:rPr>
              <w:t>1</w:t>
            </w:r>
            <w:r>
              <w:rPr>
                <w:rFonts w:hint="eastAsia" w:asciiTheme="minorEastAsia" w:hAnsiTheme="minorEastAsia" w:eastAsiaTheme="minorEastAsia"/>
                <w:szCs w:val="21"/>
              </w:rPr>
              <w:t>.1-</w:t>
            </w:r>
            <w:r>
              <w:rPr>
                <w:rFonts w:asciiTheme="minorEastAsia" w:hAnsiTheme="minorEastAsia" w:eastAsiaTheme="minorEastAsia"/>
                <w:szCs w:val="21"/>
              </w:rPr>
              <w:t>3</w:t>
            </w:r>
            <w:r>
              <w:rPr>
                <w:rFonts w:hint="eastAsia" w:asciiTheme="minorEastAsia" w:hAnsiTheme="minorEastAsia" w:eastAsiaTheme="minorEastAsia"/>
                <w:szCs w:val="21"/>
              </w:rPr>
              <w:t>分</w:t>
            </w:r>
            <w:r>
              <w:rPr>
                <w:rFonts w:hint="eastAsia" w:cs="Arial" w:asciiTheme="minorEastAsia" w:hAnsiTheme="minorEastAsia" w:eastAsiaTheme="minorEastAsia"/>
                <w:szCs w:val="21"/>
              </w:rPr>
              <w:t>）：菜谱完整，搭配一般，无特色。</w:t>
            </w:r>
          </w:p>
          <w:p>
            <w:pPr>
              <w:autoSpaceDE w:val="0"/>
              <w:autoSpaceDN w:val="0"/>
              <w:adjustRightInd w:val="0"/>
              <w:spacing w:line="400" w:lineRule="exact"/>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三档（</w:t>
            </w:r>
            <w:r>
              <w:rPr>
                <w:rFonts w:asciiTheme="minorEastAsia" w:hAnsiTheme="minorEastAsia" w:eastAsiaTheme="minorEastAsia"/>
                <w:szCs w:val="21"/>
              </w:rPr>
              <w:t>3</w:t>
            </w:r>
            <w:r>
              <w:rPr>
                <w:rFonts w:hint="eastAsia" w:asciiTheme="minorEastAsia" w:hAnsiTheme="minorEastAsia" w:eastAsiaTheme="minorEastAsia"/>
                <w:szCs w:val="21"/>
              </w:rPr>
              <w:t>.1-</w:t>
            </w:r>
            <w:r>
              <w:rPr>
                <w:rFonts w:asciiTheme="minorEastAsia" w:hAnsiTheme="minorEastAsia" w:eastAsiaTheme="minorEastAsia"/>
                <w:szCs w:val="21"/>
              </w:rPr>
              <w:t>5</w:t>
            </w:r>
            <w:r>
              <w:rPr>
                <w:rFonts w:hint="eastAsia" w:asciiTheme="minorEastAsia" w:hAnsiTheme="minorEastAsia" w:eastAsiaTheme="minorEastAsia"/>
                <w:szCs w:val="21"/>
              </w:rPr>
              <w:t>分</w:t>
            </w:r>
            <w:r>
              <w:rPr>
                <w:rFonts w:hint="eastAsia" w:cs="Arial" w:asciiTheme="minorEastAsia" w:hAnsiTheme="minorEastAsia" w:eastAsiaTheme="minorEastAsia"/>
                <w:szCs w:val="21"/>
              </w:rPr>
              <w:t>）：菜谱质量优、营养搭配均衡、有特色、完整详细。</w:t>
            </w:r>
          </w:p>
          <w:p>
            <w:pPr>
              <w:adjustRightInd w:val="0"/>
              <w:snapToGrid w:val="0"/>
              <w:spacing w:line="400" w:lineRule="exact"/>
              <w:ind w:firstLine="420" w:firstLineChars="200"/>
              <w:jc w:val="left"/>
              <w:rPr>
                <w:rFonts w:asciiTheme="minorEastAsia" w:hAnsiTheme="minorEastAsia" w:eastAsiaTheme="minorEastAsia"/>
                <w:szCs w:val="21"/>
              </w:rPr>
            </w:pPr>
            <w:r>
              <w:rPr>
                <w:rFonts w:hint="eastAsia" w:cs="Arial" w:asciiTheme="minorEastAsia" w:hAnsiTheme="minorEastAsia" w:eastAsiaTheme="minorEastAsia"/>
                <w:szCs w:val="21"/>
              </w:rPr>
              <w:t>②未提供拟投入采购人单位食堂专项菜谱的，该项不得分。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8" w:type="dxa"/>
            <w:vAlign w:val="center"/>
          </w:tcPr>
          <w:p>
            <w:pPr>
              <w:adjustRightInd w:val="0"/>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（8）食品原材料采购配送制度分（</w:t>
            </w:r>
            <w:r>
              <w:rPr>
                <w:rFonts w:asciiTheme="minorEastAsia" w:hAnsiTheme="minorEastAsia" w:eastAsiaTheme="minorEastAsia"/>
                <w:b/>
                <w:szCs w:val="21"/>
              </w:rPr>
              <w:t>5</w:t>
            </w:r>
            <w:r>
              <w:rPr>
                <w:rFonts w:hint="eastAsia" w:asciiTheme="minorEastAsia" w:hAnsiTheme="minorEastAsia" w:eastAsiaTheme="minorEastAsia"/>
                <w:b/>
                <w:szCs w:val="21"/>
              </w:rPr>
              <w:t>分）</w:t>
            </w:r>
          </w:p>
        </w:tc>
        <w:tc>
          <w:tcPr>
            <w:tcW w:w="7218" w:type="dxa"/>
            <w:vAlign w:val="center"/>
          </w:tcPr>
          <w:p>
            <w:pPr>
              <w:autoSpaceDE w:val="0"/>
              <w:autoSpaceDN w:val="0"/>
              <w:adjustRightInd w:val="0"/>
              <w:spacing w:line="400" w:lineRule="exact"/>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一档（0分）无食品原材料采购配送制度，无专职食品原材料采购人员。</w:t>
            </w:r>
          </w:p>
          <w:p>
            <w:pPr>
              <w:autoSpaceDE w:val="0"/>
              <w:autoSpaceDN w:val="0"/>
              <w:adjustRightInd w:val="0"/>
              <w:spacing w:line="400" w:lineRule="exact"/>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二档（2分）：建立有单一（单个食堂）的统一的食品原材料采购配送制度及管理措施，无专职食品原材料采购人员。</w:t>
            </w:r>
          </w:p>
          <w:p>
            <w:pPr>
              <w:autoSpaceDE w:val="0"/>
              <w:autoSpaceDN w:val="0"/>
              <w:adjustRightInd w:val="0"/>
              <w:spacing w:line="400" w:lineRule="exact"/>
              <w:ind w:firstLine="420" w:firstLineChars="200"/>
              <w:jc w:val="left"/>
              <w:rPr>
                <w:rFonts w:cs="Arial" w:asciiTheme="minorEastAsia" w:hAnsiTheme="minorEastAsia" w:eastAsiaTheme="minorEastAsia"/>
                <w:szCs w:val="21"/>
              </w:rPr>
            </w:pPr>
            <w:r>
              <w:rPr>
                <w:rFonts w:hint="eastAsia" w:cs="Arial" w:asciiTheme="minorEastAsia" w:hAnsiTheme="minorEastAsia" w:eastAsiaTheme="minorEastAsia"/>
                <w:szCs w:val="21"/>
              </w:rPr>
              <w:t>三档（5分）：建立有区域性的统一的食品原材料采购配送供应链，有专职食品原材料采购人员。</w:t>
            </w:r>
          </w:p>
          <w:p>
            <w:pPr>
              <w:autoSpaceDE w:val="0"/>
              <w:autoSpaceDN w:val="0"/>
              <w:adjustRightInd w:val="0"/>
              <w:spacing w:line="400" w:lineRule="exact"/>
              <w:ind w:firstLine="420" w:firstLineChars="200"/>
              <w:jc w:val="left"/>
              <w:rPr>
                <w:rFonts w:asciiTheme="minorEastAsia" w:hAnsiTheme="minorEastAsia" w:eastAsiaTheme="minorEastAsia"/>
                <w:szCs w:val="21"/>
              </w:rPr>
            </w:pPr>
            <w:r>
              <w:rPr>
                <w:rFonts w:hint="eastAsia" w:cs="Arial" w:asciiTheme="minorEastAsia" w:hAnsiTheme="minorEastAsia" w:eastAsiaTheme="minorEastAsia"/>
                <w:szCs w:val="21"/>
              </w:rPr>
              <w:t>【响应文件提供能证明建立有统一采购配送的佐证材料、食品原材料采购质量控制标准、主要供货商的信息（大米类，调味品类，肉类，冻品类，蔬菜食品原材料有</w:t>
            </w:r>
            <w:r>
              <w:rPr>
                <w:rFonts w:cs="Arial" w:asciiTheme="minorEastAsia" w:hAnsiTheme="minorEastAsia" w:eastAsiaTheme="minorEastAsia"/>
                <w:szCs w:val="21"/>
              </w:rPr>
              <w:t>合作商</w:t>
            </w:r>
            <w:r>
              <w:rPr>
                <w:rFonts w:hint="eastAsia" w:cs="Arial" w:asciiTheme="minorEastAsia" w:hAnsiTheme="minorEastAsia" w:eastAsiaTheme="minorEastAsia"/>
                <w:szCs w:val="21"/>
              </w:rPr>
              <w:t>的响应</w:t>
            </w:r>
            <w:r>
              <w:rPr>
                <w:rFonts w:cs="Arial" w:asciiTheme="minorEastAsia" w:hAnsiTheme="minorEastAsia" w:eastAsiaTheme="minorEastAsia"/>
                <w:szCs w:val="21"/>
              </w:rPr>
              <w:t>文件中提供相关协议及明确供应种类，其中</w:t>
            </w:r>
            <w:r>
              <w:rPr>
                <w:rFonts w:hint="eastAsia" w:cs="Arial" w:asciiTheme="minorEastAsia" w:hAnsiTheme="minorEastAsia" w:eastAsiaTheme="minorEastAsia"/>
                <w:szCs w:val="21"/>
              </w:rPr>
              <w:t>冻品类的</w:t>
            </w:r>
            <w:r>
              <w:rPr>
                <w:rFonts w:cs="Arial" w:asciiTheme="minorEastAsia" w:hAnsiTheme="minorEastAsia" w:eastAsiaTheme="minorEastAsia"/>
                <w:szCs w:val="21"/>
              </w:rPr>
              <w:t>合作商必须有储存冷库，</w:t>
            </w:r>
            <w:r>
              <w:rPr>
                <w:rFonts w:hint="eastAsia" w:cs="Arial" w:asciiTheme="minorEastAsia" w:hAnsiTheme="minorEastAsia" w:eastAsiaTheme="minorEastAsia"/>
                <w:szCs w:val="21"/>
              </w:rPr>
              <w:t>在</w:t>
            </w:r>
            <w:r>
              <w:rPr>
                <w:rFonts w:cs="Arial" w:asciiTheme="minorEastAsia" w:hAnsiTheme="minorEastAsia" w:eastAsiaTheme="minorEastAsia"/>
                <w:szCs w:val="21"/>
              </w:rPr>
              <w:t>响应文件中</w:t>
            </w:r>
            <w:r>
              <w:rPr>
                <w:rFonts w:hint="eastAsia" w:cs="Arial" w:asciiTheme="minorEastAsia" w:hAnsiTheme="minorEastAsia" w:eastAsiaTheme="minorEastAsia"/>
                <w:szCs w:val="21"/>
              </w:rPr>
              <w:t>提供合作商</w:t>
            </w:r>
            <w:r>
              <w:rPr>
                <w:rFonts w:cs="Arial" w:asciiTheme="minorEastAsia" w:hAnsiTheme="minorEastAsia" w:eastAsiaTheme="minorEastAsia"/>
                <w:szCs w:val="21"/>
              </w:rPr>
              <w:t>冷库的</w:t>
            </w:r>
            <w:r>
              <w:rPr>
                <w:rFonts w:hint="eastAsia" w:cs="Arial" w:asciiTheme="minorEastAsia" w:hAnsiTheme="minorEastAsia" w:eastAsiaTheme="minorEastAsia"/>
                <w:szCs w:val="21"/>
              </w:rPr>
              <w:t>现场照片</w:t>
            </w:r>
            <w:r>
              <w:rPr>
                <w:rFonts w:cs="Arial" w:asciiTheme="minorEastAsia" w:hAnsiTheme="minorEastAsia" w:eastAsiaTheme="minorEastAsia"/>
                <w:szCs w:val="21"/>
              </w:rPr>
              <w:t>、产权证明或</w:t>
            </w:r>
            <w:r>
              <w:rPr>
                <w:rFonts w:hint="eastAsia" w:cs="Arial" w:asciiTheme="minorEastAsia" w:hAnsiTheme="minorEastAsia" w:eastAsiaTheme="minorEastAsia"/>
                <w:szCs w:val="21"/>
              </w:rPr>
              <w:t>租赁</w:t>
            </w:r>
            <w:r>
              <w:rPr>
                <w:rFonts w:cs="Arial" w:asciiTheme="minorEastAsia" w:hAnsiTheme="minorEastAsia" w:eastAsiaTheme="minorEastAsia"/>
                <w:szCs w:val="21"/>
              </w:rPr>
              <w:t>协议</w:t>
            </w:r>
            <w:r>
              <w:rPr>
                <w:rFonts w:hint="eastAsia" w:cs="Arial" w:asciiTheme="minorEastAsia" w:hAnsiTheme="minorEastAsia" w:eastAsiaTheme="minorEastAsia"/>
                <w:szCs w:val="21"/>
              </w:rPr>
              <w:t>等</w:t>
            </w:r>
            <w:r>
              <w:rPr>
                <w:rFonts w:cs="Arial" w:asciiTheme="minorEastAsia" w:hAnsiTheme="minorEastAsia" w:eastAsiaTheme="minorEastAsia"/>
                <w:szCs w:val="21"/>
              </w:rPr>
              <w:t>相关证明材料</w:t>
            </w:r>
            <w:r>
              <w:rPr>
                <w:rFonts w:hint="eastAsia" w:cs="Arial" w:asciiTheme="minorEastAsia" w:hAnsiTheme="minorEastAsia" w:eastAsiaTheme="minorEastAsia"/>
                <w:szCs w:val="21"/>
              </w:rPr>
              <w:t>），专职采购人员应为供应商正式在册员工,在响应文件须提供供应商为其员工在响应文件递交截止时间前半年内任意1个月的缴纳社保证明材料复印件</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8" w:type="dxa"/>
            <w:vAlign w:val="center"/>
          </w:tcPr>
          <w:p>
            <w:pPr>
              <w:adjustRightInd w:val="0"/>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（9）食品原材料检验制度和机构（</w:t>
            </w:r>
            <w:r>
              <w:rPr>
                <w:rFonts w:asciiTheme="minorEastAsia" w:hAnsiTheme="minorEastAsia" w:eastAsiaTheme="minorEastAsia"/>
                <w:b/>
                <w:szCs w:val="21"/>
              </w:rPr>
              <w:t>2</w:t>
            </w:r>
            <w:r>
              <w:rPr>
                <w:rFonts w:hint="eastAsia" w:asciiTheme="minorEastAsia" w:hAnsiTheme="minorEastAsia" w:eastAsiaTheme="minorEastAsia"/>
                <w:b/>
                <w:szCs w:val="21"/>
              </w:rPr>
              <w:t>分）</w:t>
            </w:r>
          </w:p>
        </w:tc>
        <w:tc>
          <w:tcPr>
            <w:tcW w:w="7218" w:type="dxa"/>
            <w:vAlign w:val="center"/>
          </w:tcPr>
          <w:p>
            <w:pPr>
              <w:pStyle w:val="27"/>
              <w:spacing w:line="360" w:lineRule="exact"/>
              <w:ind w:firstLine="420"/>
              <w:rPr>
                <w:rFonts w:asciiTheme="minorEastAsia" w:hAnsiTheme="minorEastAsia" w:eastAsiaTheme="minorEastAsia"/>
                <w:bCs/>
                <w:sz w:val="21"/>
              </w:rPr>
            </w:pPr>
            <w:r>
              <w:rPr>
                <w:rFonts w:hint="eastAsia" w:asciiTheme="minorEastAsia" w:hAnsiTheme="minorEastAsia" w:eastAsiaTheme="minorEastAsia"/>
                <w:bCs/>
                <w:sz w:val="21"/>
              </w:rPr>
              <w:t>一档（0分）：无食品原材料检验制度、设备、人员。</w:t>
            </w:r>
          </w:p>
          <w:p>
            <w:pPr>
              <w:pStyle w:val="27"/>
              <w:spacing w:line="360" w:lineRule="exact"/>
              <w:ind w:firstLine="420"/>
              <w:rPr>
                <w:rFonts w:asciiTheme="minorEastAsia" w:hAnsiTheme="minorEastAsia" w:eastAsiaTheme="minorEastAsia"/>
                <w:bCs/>
                <w:sz w:val="21"/>
              </w:rPr>
            </w:pPr>
            <w:r>
              <w:rPr>
                <w:rFonts w:hint="eastAsia" w:asciiTheme="minorEastAsia" w:hAnsiTheme="minorEastAsia" w:eastAsiaTheme="minorEastAsia"/>
                <w:bCs/>
                <w:sz w:val="21"/>
              </w:rPr>
              <w:t>二档（</w:t>
            </w:r>
            <w:r>
              <w:rPr>
                <w:rFonts w:asciiTheme="minorEastAsia" w:hAnsiTheme="minorEastAsia" w:eastAsiaTheme="minorEastAsia"/>
                <w:bCs/>
                <w:sz w:val="21"/>
              </w:rPr>
              <w:t>1</w:t>
            </w:r>
            <w:r>
              <w:rPr>
                <w:rFonts w:hint="eastAsia" w:asciiTheme="minorEastAsia" w:hAnsiTheme="minorEastAsia" w:eastAsiaTheme="minorEastAsia"/>
                <w:bCs/>
                <w:sz w:val="21"/>
              </w:rPr>
              <w:t>分）：有食品原材料检验制度，有农残检测等专业设备或引进第三方机构检测食品原料；但无专职检验人员。</w:t>
            </w:r>
          </w:p>
          <w:p>
            <w:pPr>
              <w:pStyle w:val="27"/>
              <w:spacing w:line="360" w:lineRule="exact"/>
              <w:ind w:firstLine="420"/>
              <w:rPr>
                <w:rFonts w:asciiTheme="minorEastAsia" w:hAnsiTheme="minorEastAsia" w:eastAsiaTheme="minorEastAsia"/>
                <w:bCs/>
                <w:sz w:val="21"/>
              </w:rPr>
            </w:pPr>
            <w:r>
              <w:rPr>
                <w:rFonts w:hint="eastAsia" w:asciiTheme="minorEastAsia" w:hAnsiTheme="minorEastAsia" w:eastAsiaTheme="minorEastAsia"/>
                <w:bCs/>
                <w:sz w:val="21"/>
              </w:rPr>
              <w:t>三档（</w:t>
            </w:r>
            <w:r>
              <w:rPr>
                <w:rFonts w:asciiTheme="minorEastAsia" w:hAnsiTheme="minorEastAsia" w:eastAsiaTheme="minorEastAsia"/>
                <w:bCs/>
                <w:sz w:val="21"/>
              </w:rPr>
              <w:t>2</w:t>
            </w:r>
            <w:r>
              <w:rPr>
                <w:rFonts w:hint="eastAsia" w:asciiTheme="minorEastAsia" w:hAnsiTheme="minorEastAsia" w:eastAsiaTheme="minorEastAsia"/>
                <w:bCs/>
                <w:sz w:val="21"/>
              </w:rPr>
              <w:t>分）：有食品原材料检验制度，有农残检测等专业设备或引进第三方机构检测食品原料，有引进第三方机构检测食品原料的安全性保障，有专职检验人员。</w:t>
            </w:r>
          </w:p>
          <w:p>
            <w:pPr>
              <w:pStyle w:val="27"/>
              <w:spacing w:line="360" w:lineRule="exact"/>
              <w:ind w:firstLine="420"/>
              <w:rPr>
                <w:rFonts w:asciiTheme="minorEastAsia" w:hAnsiTheme="minorEastAsia" w:eastAsiaTheme="minorEastAsia"/>
                <w:bCs/>
                <w:sz w:val="21"/>
              </w:rPr>
            </w:pPr>
            <w:r>
              <w:rPr>
                <w:rFonts w:hint="eastAsia" w:asciiTheme="minorEastAsia" w:hAnsiTheme="minorEastAsia" w:eastAsiaTheme="minorEastAsia"/>
                <w:bCs/>
                <w:sz w:val="21"/>
              </w:rPr>
              <w:t>应提供检验制度、检验设备配备清单。</w:t>
            </w:r>
          </w:p>
          <w:p>
            <w:pPr>
              <w:autoSpaceDE w:val="0"/>
              <w:autoSpaceDN w:val="0"/>
              <w:adjustRightInd w:val="0"/>
              <w:spacing w:line="400" w:lineRule="exact"/>
              <w:ind w:firstLine="420" w:firstLineChars="200"/>
              <w:jc w:val="left"/>
              <w:rPr>
                <w:rFonts w:asciiTheme="minorEastAsia" w:hAnsiTheme="minorEastAsia" w:eastAsiaTheme="minorEastAsia"/>
                <w:szCs w:val="21"/>
              </w:rPr>
            </w:pPr>
            <w:r>
              <w:rPr>
                <w:rFonts w:hint="eastAsia" w:cs="Arial" w:asciiTheme="minorEastAsia" w:hAnsiTheme="minorEastAsia" w:eastAsiaTheme="minorEastAsia"/>
                <w:szCs w:val="21"/>
              </w:rPr>
              <w:t>【在响应文件中提供检验制度、检验机构的</w:t>
            </w:r>
            <w:r>
              <w:rPr>
                <w:rFonts w:cs="Arial" w:asciiTheme="minorEastAsia" w:hAnsiTheme="minorEastAsia" w:eastAsiaTheme="minorEastAsia"/>
                <w:szCs w:val="21"/>
              </w:rPr>
              <w:t>相关协议</w:t>
            </w:r>
            <w:r>
              <w:rPr>
                <w:rFonts w:hint="eastAsia" w:cs="Arial" w:asciiTheme="minorEastAsia" w:hAnsiTheme="minorEastAsia" w:eastAsiaTheme="minorEastAsia"/>
                <w:szCs w:val="21"/>
              </w:rPr>
              <w:t>、检验设备、检验单据、检验人员信息等】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8" w:type="dxa"/>
            <w:vAlign w:val="center"/>
          </w:tcPr>
          <w:p>
            <w:pPr>
              <w:adjustRightInd w:val="0"/>
              <w:snapToGrid w:val="0"/>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（10）其他人员资质分（2分）</w:t>
            </w:r>
          </w:p>
        </w:tc>
        <w:tc>
          <w:tcPr>
            <w:tcW w:w="7218" w:type="dxa"/>
            <w:vAlign w:val="center"/>
          </w:tcPr>
          <w:p>
            <w:pPr>
              <w:autoSpaceDE w:val="0"/>
              <w:autoSpaceDN w:val="0"/>
              <w:adjustRightInd w:val="0"/>
              <w:spacing w:line="400" w:lineRule="exact"/>
              <w:ind w:firstLine="420" w:firstLineChars="200"/>
              <w:jc w:val="left"/>
              <w:rPr>
                <w:rFonts w:cs="Arial" w:asciiTheme="minorEastAsia" w:hAnsiTheme="minorEastAsia" w:eastAsiaTheme="minorEastAsia"/>
                <w:szCs w:val="21"/>
              </w:rPr>
            </w:pPr>
            <w:r>
              <w:rPr>
                <w:rFonts w:hint="eastAsia" w:asciiTheme="minorEastAsia" w:hAnsiTheme="minorEastAsia" w:eastAsiaTheme="minorEastAsia"/>
                <w:szCs w:val="21"/>
              </w:rPr>
              <w:t>供应商配备的服务人员有高级营养师、高级营养管理师、高级面点师证书的，每有1人得1分，满分2分。【必须在响应文件中提供人员资质（资格）证书复印件，不提供的不计分。</w:t>
            </w:r>
            <w:r>
              <w:rPr>
                <w:rFonts w:hint="eastAsia" w:cs="Arial" w:asciiTheme="minorEastAsia" w:hAnsiTheme="minorEastAsia" w:eastAsiaTheme="minorEastAsia"/>
                <w:szCs w:val="21"/>
              </w:rPr>
              <w:t>在响应文件须提供供应商为其员工在响应文件递交截止时间前半年内任意1个月的缴纳社保证明材料复印件</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76" w:type="dxa"/>
            <w:gridSpan w:val="2"/>
            <w:vAlign w:val="center"/>
          </w:tcPr>
          <w:p>
            <w:pPr>
              <w:adjustRightInd w:val="0"/>
              <w:snapToGrid w:val="0"/>
              <w:spacing w:line="400" w:lineRule="exact"/>
              <w:jc w:val="left"/>
              <w:rPr>
                <w:rFonts w:asciiTheme="minorEastAsia" w:hAnsiTheme="minorEastAsia" w:eastAsiaTheme="minorEastAsia"/>
                <w:b/>
                <w:szCs w:val="21"/>
              </w:rPr>
            </w:pPr>
            <w:r>
              <w:rPr>
                <w:rFonts w:hint="eastAsia" w:asciiTheme="minorEastAsia" w:hAnsiTheme="minorEastAsia" w:eastAsiaTheme="minorEastAsia"/>
                <w:b/>
                <w:szCs w:val="21"/>
              </w:rPr>
              <w:t>2、商务分（30分）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8" w:type="dxa"/>
            <w:vAlign w:val="center"/>
          </w:tcPr>
          <w:p>
            <w:pPr>
              <w:pStyle w:val="27"/>
              <w:spacing w:line="380" w:lineRule="exact"/>
              <w:jc w:val="center"/>
              <w:rPr>
                <w:rFonts w:asciiTheme="minorEastAsia" w:hAnsiTheme="minorEastAsia" w:eastAsiaTheme="minorEastAsia"/>
                <w:b/>
                <w:highlight w:val="yellow"/>
              </w:rPr>
            </w:pPr>
            <w:r>
              <w:rPr>
                <w:rFonts w:hint="eastAsia" w:asciiTheme="minorEastAsia" w:hAnsiTheme="minorEastAsia" w:eastAsiaTheme="minorEastAsia"/>
                <w:b/>
                <w:kern w:val="2"/>
                <w:sz w:val="21"/>
              </w:rPr>
              <w:t>（1）项目业绩分（6分）</w:t>
            </w:r>
          </w:p>
        </w:tc>
        <w:tc>
          <w:tcPr>
            <w:tcW w:w="7218" w:type="dxa"/>
            <w:vAlign w:val="center"/>
          </w:tcPr>
          <w:p>
            <w:pPr>
              <w:pStyle w:val="27"/>
              <w:spacing w:line="380" w:lineRule="exact"/>
              <w:ind w:firstLine="420" w:firstLineChars="200"/>
              <w:rPr>
                <w:rFonts w:asciiTheme="minorEastAsia" w:hAnsiTheme="minorEastAsia" w:eastAsiaTheme="minorEastAsia"/>
                <w:sz w:val="21"/>
              </w:rPr>
            </w:pPr>
            <w:r>
              <w:rPr>
                <w:rFonts w:hint="eastAsia" w:asciiTheme="minorEastAsia" w:hAnsiTheme="minorEastAsia" w:eastAsiaTheme="minorEastAsia"/>
                <w:sz w:val="21"/>
                <w:highlight w:val="none"/>
              </w:rPr>
              <w:t>201</w:t>
            </w:r>
            <w:r>
              <w:rPr>
                <w:rFonts w:hint="eastAsia" w:asciiTheme="minorEastAsia" w:hAnsiTheme="minorEastAsia" w:eastAsiaTheme="minorEastAsia"/>
                <w:sz w:val="21"/>
                <w:highlight w:val="none"/>
                <w:lang w:val="en-US" w:eastAsia="zh-CN"/>
              </w:rPr>
              <w:t>9</w:t>
            </w:r>
            <w:r>
              <w:rPr>
                <w:rFonts w:hint="eastAsia" w:asciiTheme="minorEastAsia" w:hAnsiTheme="minorEastAsia" w:eastAsiaTheme="minorEastAsia"/>
                <w:sz w:val="21"/>
                <w:highlight w:val="none"/>
              </w:rPr>
              <w:t>年</w:t>
            </w:r>
            <w:r>
              <w:rPr>
                <w:rFonts w:hint="eastAsia" w:asciiTheme="minorEastAsia" w:hAnsiTheme="minorEastAsia" w:eastAsiaTheme="minorEastAsia"/>
                <w:sz w:val="21"/>
              </w:rPr>
              <w:t>1月1日起至今，具有正在经营类似项目的政府单位、国有企业的业绩，每有一项得2分，最高得6分。</w:t>
            </w:r>
          </w:p>
          <w:p>
            <w:pPr>
              <w:pStyle w:val="27"/>
              <w:spacing w:line="380" w:lineRule="exact"/>
              <w:rPr>
                <w:rFonts w:asciiTheme="minorEastAsia" w:hAnsiTheme="minorEastAsia" w:eastAsiaTheme="minorEastAsia"/>
                <w:b/>
                <w:highlight w:val="yellow"/>
              </w:rPr>
            </w:pPr>
            <w:r>
              <w:rPr>
                <w:rFonts w:hint="eastAsia" w:asciiTheme="minorEastAsia" w:hAnsiTheme="minorEastAsia" w:eastAsiaTheme="minorEastAsia"/>
                <w:bCs/>
                <w:sz w:val="21"/>
              </w:rPr>
              <w:t>【必须在响应文件中提供有效合同或中标/成交通知书复印件并加盖供应商公章，原件备查</w:t>
            </w:r>
            <w:r>
              <w:rPr>
                <w:rFonts w:hint="eastAsia" w:asciiTheme="minorEastAsia" w:hAnsiTheme="minorEastAsia" w:eastAsiaTheme="minorEastAsia"/>
                <w:sz w:val="21"/>
              </w:rPr>
              <w:t>，否则不得分，同一业绩不重复得分。】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8" w:type="dxa"/>
            <w:vAlign w:val="center"/>
          </w:tcPr>
          <w:p>
            <w:pPr>
              <w:pStyle w:val="27"/>
              <w:spacing w:line="380" w:lineRule="exact"/>
              <w:jc w:val="center"/>
              <w:rPr>
                <w:rFonts w:asciiTheme="minorEastAsia" w:hAnsiTheme="minorEastAsia" w:eastAsiaTheme="minorEastAsia"/>
                <w:b/>
                <w:kern w:val="2"/>
                <w:sz w:val="21"/>
              </w:rPr>
            </w:pPr>
            <w:r>
              <w:rPr>
                <w:rFonts w:hint="eastAsia" w:asciiTheme="minorEastAsia" w:hAnsiTheme="minorEastAsia" w:eastAsiaTheme="minorEastAsia"/>
                <w:b/>
                <w:sz w:val="21"/>
              </w:rPr>
              <w:t>（2）本地化服务分（5分）</w:t>
            </w:r>
          </w:p>
        </w:tc>
        <w:tc>
          <w:tcPr>
            <w:tcW w:w="7218" w:type="dxa"/>
            <w:vAlign w:val="center"/>
          </w:tcPr>
          <w:p>
            <w:pPr>
              <w:pStyle w:val="27"/>
              <w:ind w:firstLine="420" w:firstLineChars="200"/>
              <w:jc w:val="left"/>
              <w:rPr>
                <w:rFonts w:asciiTheme="minorEastAsia" w:hAnsiTheme="minorEastAsia" w:eastAsiaTheme="minorEastAsia"/>
                <w:bCs/>
                <w:sz w:val="21"/>
              </w:rPr>
            </w:pPr>
            <w:r>
              <w:rPr>
                <w:rFonts w:hint="eastAsia" w:asciiTheme="minorEastAsia" w:hAnsiTheme="minorEastAsia" w:eastAsiaTheme="minorEastAsia"/>
                <w:sz w:val="21"/>
              </w:rPr>
              <w:t>供应商自有运输车辆或租赁车辆，能为本项目提供服务的，得5分，无投入运输车辆的本项得0分。</w:t>
            </w:r>
            <w:r>
              <w:rPr>
                <w:rFonts w:hint="eastAsia" w:asciiTheme="minorEastAsia" w:hAnsiTheme="minorEastAsia" w:eastAsiaTheme="minorEastAsia"/>
                <w:bCs/>
                <w:sz w:val="21"/>
              </w:rPr>
              <w:t>【必须</w:t>
            </w:r>
            <w:r>
              <w:rPr>
                <w:rFonts w:hint="eastAsia" w:cs="Arial" w:asciiTheme="minorEastAsia" w:hAnsiTheme="minorEastAsia" w:eastAsiaTheme="minorEastAsia"/>
                <w:bCs/>
                <w:sz w:val="21"/>
              </w:rPr>
              <w:t>在响应文件中</w:t>
            </w:r>
            <w:r>
              <w:rPr>
                <w:rFonts w:hint="eastAsia" w:asciiTheme="minorEastAsia" w:hAnsiTheme="minorEastAsia" w:eastAsiaTheme="minorEastAsia"/>
                <w:bCs/>
                <w:sz w:val="21"/>
              </w:rPr>
              <w:t>提供车辆行驶证复印件并加盖供应商公章，供应商投入车辆为租赁车辆的，还应该同时提供租赁合同。原件备查】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8" w:type="dxa"/>
            <w:vAlign w:val="center"/>
          </w:tcPr>
          <w:p>
            <w:pPr>
              <w:pStyle w:val="27"/>
              <w:spacing w:line="380" w:lineRule="exact"/>
              <w:jc w:val="center"/>
              <w:rPr>
                <w:rFonts w:asciiTheme="minorEastAsia" w:hAnsiTheme="minorEastAsia" w:eastAsiaTheme="minorEastAsia"/>
                <w:b/>
                <w:sz w:val="21"/>
              </w:rPr>
            </w:pPr>
            <w:r>
              <w:rPr>
                <w:rFonts w:hint="eastAsia" w:asciiTheme="minorEastAsia" w:hAnsiTheme="minorEastAsia" w:eastAsiaTheme="minorEastAsia"/>
                <w:b/>
                <w:kern w:val="2"/>
                <w:sz w:val="21"/>
              </w:rPr>
              <w:t>（3）管理体系认证分（4分）</w:t>
            </w:r>
          </w:p>
        </w:tc>
        <w:tc>
          <w:tcPr>
            <w:tcW w:w="7218" w:type="dxa"/>
            <w:vAlign w:val="center"/>
          </w:tcPr>
          <w:p>
            <w:pPr>
              <w:pStyle w:val="27"/>
              <w:adjustRightInd w:val="0"/>
              <w:snapToGrid w:val="0"/>
              <w:spacing w:line="380" w:lineRule="exact"/>
              <w:ind w:firstLine="420" w:firstLineChars="200"/>
              <w:rPr>
                <w:rFonts w:asciiTheme="minorEastAsia" w:hAnsiTheme="minorEastAsia" w:eastAsiaTheme="minorEastAsia"/>
                <w:bCs/>
                <w:sz w:val="21"/>
              </w:rPr>
            </w:pPr>
            <w:r>
              <w:rPr>
                <w:rFonts w:hint="eastAsia" w:asciiTheme="minorEastAsia" w:hAnsiTheme="minorEastAsia" w:eastAsiaTheme="minorEastAsia"/>
                <w:bCs/>
                <w:sz w:val="21"/>
              </w:rPr>
              <w:t>供应商具有以下有效的管理体系认证证书:</w:t>
            </w:r>
          </w:p>
          <w:p>
            <w:pPr>
              <w:pStyle w:val="27"/>
              <w:numPr>
                <w:ilvl w:val="0"/>
                <w:numId w:val="1"/>
              </w:numPr>
              <w:adjustRightInd w:val="0"/>
              <w:snapToGrid w:val="0"/>
              <w:spacing w:line="380" w:lineRule="exact"/>
              <w:ind w:firstLine="420" w:firstLineChars="200"/>
              <w:rPr>
                <w:rFonts w:asciiTheme="minorEastAsia" w:hAnsiTheme="minorEastAsia" w:eastAsiaTheme="minorEastAsia"/>
                <w:bCs/>
                <w:sz w:val="21"/>
              </w:rPr>
            </w:pPr>
            <w:r>
              <w:rPr>
                <w:rFonts w:hint="eastAsia" w:asciiTheme="minorEastAsia" w:hAnsiTheme="minorEastAsia" w:eastAsiaTheme="minorEastAsia"/>
                <w:bCs/>
                <w:sz w:val="21"/>
              </w:rPr>
              <w:t>ISO22000食品安全管理体系认证，得1分；</w:t>
            </w:r>
          </w:p>
          <w:p>
            <w:pPr>
              <w:pStyle w:val="27"/>
              <w:numPr>
                <w:ilvl w:val="0"/>
                <w:numId w:val="1"/>
              </w:numPr>
              <w:adjustRightInd w:val="0"/>
              <w:snapToGrid w:val="0"/>
              <w:spacing w:line="380" w:lineRule="exact"/>
              <w:ind w:firstLine="420" w:firstLineChars="200"/>
              <w:rPr>
                <w:rFonts w:asciiTheme="minorEastAsia" w:hAnsiTheme="minorEastAsia" w:eastAsiaTheme="minorEastAsia"/>
                <w:bCs/>
                <w:sz w:val="21"/>
              </w:rPr>
            </w:pPr>
            <w:r>
              <w:rPr>
                <w:rFonts w:hint="eastAsia" w:asciiTheme="minorEastAsia" w:hAnsiTheme="minorEastAsia" w:eastAsiaTheme="minorEastAsia"/>
                <w:bCs/>
                <w:sz w:val="21"/>
              </w:rPr>
              <w:t>ISO9001质量管理体系认证，得1分；</w:t>
            </w:r>
          </w:p>
          <w:p>
            <w:pPr>
              <w:pStyle w:val="27"/>
              <w:numPr>
                <w:ilvl w:val="0"/>
                <w:numId w:val="1"/>
              </w:numPr>
              <w:adjustRightInd w:val="0"/>
              <w:snapToGrid w:val="0"/>
              <w:spacing w:line="380" w:lineRule="exact"/>
              <w:ind w:firstLine="420" w:firstLineChars="200"/>
              <w:rPr>
                <w:rFonts w:asciiTheme="minorEastAsia" w:hAnsiTheme="minorEastAsia" w:eastAsiaTheme="minorEastAsia"/>
                <w:bCs/>
                <w:sz w:val="21"/>
              </w:rPr>
            </w:pPr>
            <w:r>
              <w:rPr>
                <w:rFonts w:hint="eastAsia" w:asciiTheme="minorEastAsia" w:hAnsiTheme="minorEastAsia" w:eastAsiaTheme="minorEastAsia"/>
                <w:bCs/>
                <w:sz w:val="21"/>
              </w:rPr>
              <w:t>ISO14001环境管理体系认证，得1分；</w:t>
            </w:r>
          </w:p>
          <w:p>
            <w:pPr>
              <w:pStyle w:val="27"/>
              <w:numPr>
                <w:ilvl w:val="0"/>
                <w:numId w:val="1"/>
              </w:numPr>
              <w:adjustRightInd w:val="0"/>
              <w:snapToGrid w:val="0"/>
              <w:spacing w:line="380" w:lineRule="exact"/>
              <w:ind w:firstLine="420" w:firstLineChars="200"/>
              <w:rPr>
                <w:rFonts w:asciiTheme="minorEastAsia" w:hAnsiTheme="minorEastAsia" w:eastAsiaTheme="minorEastAsia"/>
                <w:bCs/>
                <w:sz w:val="21"/>
              </w:rPr>
            </w:pPr>
            <w:r>
              <w:rPr>
                <w:rFonts w:hint="eastAsia" w:asciiTheme="minorEastAsia" w:hAnsiTheme="minorEastAsia" w:eastAsiaTheme="minorEastAsia"/>
                <w:bCs/>
                <w:sz w:val="21"/>
              </w:rPr>
              <w:t>ISO45001或OHSAS18001-2007职业健康管理体系认证，得1分。</w:t>
            </w:r>
          </w:p>
          <w:p>
            <w:pPr>
              <w:pStyle w:val="27"/>
              <w:adjustRightInd w:val="0"/>
              <w:snapToGrid w:val="0"/>
              <w:spacing w:line="380" w:lineRule="exact"/>
              <w:ind w:firstLine="420" w:firstLineChars="200"/>
              <w:rPr>
                <w:rFonts w:asciiTheme="minorEastAsia" w:hAnsiTheme="minorEastAsia" w:eastAsiaTheme="minorEastAsia"/>
                <w:sz w:val="21"/>
              </w:rPr>
            </w:pPr>
            <w:r>
              <w:rPr>
                <w:rFonts w:hint="eastAsia" w:asciiTheme="minorEastAsia" w:hAnsiTheme="minorEastAsia" w:eastAsiaTheme="minorEastAsia"/>
                <w:bCs/>
                <w:sz w:val="21"/>
              </w:rPr>
              <w:t>【须提供有效证书复印件及在中国国家认证认可监督管理委员会可查询打印页(网址:http:/gxcnca.gov.cn/) 加盖供应商公章，证书原件备查，否则不得分。】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8" w:type="dxa"/>
            <w:vAlign w:val="center"/>
          </w:tcPr>
          <w:p>
            <w:pPr>
              <w:pStyle w:val="27"/>
              <w:spacing w:line="380" w:lineRule="exact"/>
              <w:jc w:val="center"/>
              <w:rPr>
                <w:rFonts w:asciiTheme="minorEastAsia" w:hAnsiTheme="minorEastAsia" w:eastAsiaTheme="minorEastAsia"/>
                <w:b/>
                <w:kern w:val="2"/>
                <w:sz w:val="21"/>
              </w:rPr>
            </w:pPr>
            <w:r>
              <w:rPr>
                <w:rFonts w:hint="eastAsia" w:asciiTheme="minorEastAsia" w:hAnsiTheme="minorEastAsia" w:eastAsiaTheme="minorEastAsia"/>
                <w:b/>
                <w:kern w:val="2"/>
                <w:sz w:val="21"/>
              </w:rPr>
              <w:t>（4）网络信息化程度分（5分）</w:t>
            </w:r>
          </w:p>
        </w:tc>
        <w:tc>
          <w:tcPr>
            <w:tcW w:w="7218" w:type="dxa"/>
            <w:vAlign w:val="center"/>
          </w:tcPr>
          <w:p>
            <w:pPr>
              <w:pStyle w:val="27"/>
              <w:adjustRightInd w:val="0"/>
              <w:snapToGrid w:val="0"/>
              <w:spacing w:line="380" w:lineRule="exact"/>
              <w:ind w:firstLine="420" w:firstLineChars="200"/>
              <w:rPr>
                <w:rFonts w:eastAsiaTheme="minorEastAsia"/>
              </w:rPr>
            </w:pPr>
            <w:r>
              <w:rPr>
                <w:rFonts w:hint="eastAsia" w:asciiTheme="minorEastAsia" w:hAnsiTheme="minorEastAsia" w:eastAsiaTheme="minorEastAsia"/>
                <w:bCs/>
                <w:sz w:val="21"/>
              </w:rPr>
              <w:t>供应商自有线上下单系统，且具备结算功能的，得5分</w:t>
            </w:r>
            <w:r>
              <w:rPr>
                <w:rFonts w:hint="eastAsia" w:asciiTheme="minorEastAsia" w:hAnsiTheme="minorEastAsia" w:eastAsiaTheme="minorEastAsia"/>
                <w:bCs/>
                <w:sz w:val="21"/>
                <w:lang w:eastAsia="zh-CN"/>
              </w:rPr>
              <w:t>。</w:t>
            </w:r>
            <w:r>
              <w:rPr>
                <w:rFonts w:hint="eastAsia" w:asciiTheme="minorEastAsia" w:hAnsiTheme="minorEastAsia" w:eastAsiaTheme="minorEastAsia"/>
                <w:bCs/>
                <w:sz w:val="21"/>
              </w:rPr>
              <w:t>【必须在响应文件中提供</w:t>
            </w:r>
            <w:r>
              <w:rPr>
                <w:rFonts w:hint="eastAsia" w:asciiTheme="minorEastAsia" w:hAnsiTheme="minorEastAsia" w:eastAsiaTheme="minorEastAsia"/>
                <w:bCs/>
                <w:sz w:val="21"/>
                <w:lang w:eastAsia="zh-CN"/>
              </w:rPr>
              <w:t>系统截图、</w:t>
            </w:r>
            <w:r>
              <w:rPr>
                <w:rFonts w:hint="eastAsia" w:asciiTheme="minorEastAsia" w:hAnsiTheme="minorEastAsia" w:eastAsiaTheme="minorEastAsia"/>
                <w:bCs/>
                <w:sz w:val="21"/>
              </w:rPr>
              <w:t>二维码和网址备查】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8" w:type="dxa"/>
            <w:vAlign w:val="center"/>
          </w:tcPr>
          <w:p>
            <w:pPr>
              <w:pStyle w:val="27"/>
              <w:spacing w:line="380" w:lineRule="exact"/>
              <w:jc w:val="center"/>
              <w:rPr>
                <w:rFonts w:asciiTheme="minorEastAsia" w:hAnsiTheme="minorEastAsia" w:eastAsiaTheme="minorEastAsia"/>
                <w:b/>
                <w:kern w:val="2"/>
                <w:sz w:val="21"/>
              </w:rPr>
            </w:pPr>
            <w:r>
              <w:rPr>
                <w:rFonts w:hint="eastAsia" w:asciiTheme="minorEastAsia" w:hAnsiTheme="minorEastAsia" w:eastAsiaTheme="minorEastAsia"/>
                <w:b/>
                <w:kern w:val="2"/>
                <w:sz w:val="21"/>
              </w:rPr>
              <w:t>（5）企业荣誉（8分）</w:t>
            </w:r>
          </w:p>
        </w:tc>
        <w:tc>
          <w:tcPr>
            <w:tcW w:w="7218" w:type="dxa"/>
            <w:vAlign w:val="center"/>
          </w:tcPr>
          <w:p>
            <w:pPr>
              <w:pStyle w:val="27"/>
              <w:numPr>
                <w:ilvl w:val="0"/>
                <w:numId w:val="2"/>
              </w:numPr>
              <w:adjustRightInd w:val="0"/>
              <w:snapToGrid w:val="0"/>
              <w:spacing w:line="380" w:lineRule="exact"/>
              <w:jc w:val="left"/>
              <w:rPr>
                <w:rFonts w:asciiTheme="minorEastAsia" w:hAnsiTheme="minorEastAsia" w:eastAsiaTheme="minorEastAsia"/>
                <w:bCs/>
                <w:sz w:val="21"/>
              </w:rPr>
            </w:pPr>
            <w:r>
              <w:rPr>
                <w:rFonts w:hint="eastAsia" w:asciiTheme="minorEastAsia" w:hAnsiTheme="minorEastAsia" w:eastAsiaTheme="minorEastAsia"/>
                <w:bCs/>
                <w:sz w:val="21"/>
              </w:rPr>
              <w:t>供应商获得省级及以上相关部门颁发的“优秀餐饮企业”称号的得1分,满分1分。【必须在响应文件中提供相关证明材料复印件加盖供应商公章，否则不予计分。】</w:t>
            </w:r>
          </w:p>
          <w:p>
            <w:pPr>
              <w:pStyle w:val="27"/>
              <w:numPr>
                <w:ilvl w:val="0"/>
                <w:numId w:val="2"/>
              </w:numPr>
              <w:adjustRightInd w:val="0"/>
              <w:snapToGrid w:val="0"/>
              <w:spacing w:line="380" w:lineRule="exact"/>
              <w:jc w:val="left"/>
              <w:rPr>
                <w:rFonts w:asciiTheme="minorEastAsia" w:hAnsiTheme="minorEastAsia" w:eastAsiaTheme="minorEastAsia"/>
                <w:bCs/>
                <w:sz w:val="21"/>
              </w:rPr>
            </w:pPr>
            <w:r>
              <w:rPr>
                <w:rFonts w:hint="eastAsia" w:asciiTheme="minorEastAsia" w:hAnsiTheme="minorEastAsia" w:eastAsiaTheme="minorEastAsia"/>
                <w:bCs/>
                <w:sz w:val="21"/>
              </w:rPr>
              <w:t>企业持有信用评价等级AAA级证书、或AAA级诚信经营示范单位、AAA级质量服务诚信单位、AAA级重合同守信用企业的证书且在有效期内的，有其中一项的得1分，满分1分。【必须在响应文件中提供相关证明材料复印件加盖供应商公章，否则不予计分。】</w:t>
            </w:r>
          </w:p>
          <w:p>
            <w:pPr>
              <w:pStyle w:val="27"/>
              <w:numPr>
                <w:ilvl w:val="0"/>
                <w:numId w:val="2"/>
              </w:numPr>
              <w:adjustRightInd w:val="0"/>
              <w:snapToGrid w:val="0"/>
              <w:spacing w:line="380" w:lineRule="exact"/>
              <w:jc w:val="left"/>
              <w:rPr>
                <w:rFonts w:asciiTheme="minorEastAsia" w:hAnsiTheme="minorEastAsia" w:eastAsiaTheme="minorEastAsia"/>
                <w:bCs/>
                <w:sz w:val="21"/>
              </w:rPr>
            </w:pPr>
            <w:r>
              <w:rPr>
                <w:rFonts w:hint="eastAsia" w:asciiTheme="minorEastAsia" w:hAnsiTheme="minorEastAsia" w:eastAsiaTheme="minorEastAsia"/>
                <w:bCs/>
                <w:sz w:val="21"/>
              </w:rPr>
              <w:t>供应商被评为国家级食品安全大会组委会诚信单位，得2分，满分2分。【必须在响应文件中提供相关证明材料复印件加盖供应商公章，否则不予计分。】</w:t>
            </w:r>
          </w:p>
          <w:p>
            <w:pPr>
              <w:pStyle w:val="27"/>
              <w:numPr>
                <w:ilvl w:val="0"/>
                <w:numId w:val="2"/>
              </w:numPr>
              <w:adjustRightInd w:val="0"/>
              <w:snapToGrid w:val="0"/>
              <w:spacing w:line="380" w:lineRule="exact"/>
              <w:jc w:val="left"/>
              <w:rPr>
                <w:rFonts w:asciiTheme="minorEastAsia" w:hAnsiTheme="minorEastAsia" w:eastAsiaTheme="minorEastAsia"/>
                <w:bCs/>
                <w:sz w:val="21"/>
              </w:rPr>
            </w:pPr>
            <w:r>
              <w:rPr>
                <w:rFonts w:hint="eastAsia" w:asciiTheme="minorEastAsia" w:hAnsiTheme="minorEastAsia" w:eastAsiaTheme="minorEastAsia"/>
                <w:bCs/>
                <w:sz w:val="21"/>
              </w:rPr>
              <w:t>供应商被评为省级或以上营养学会常务理事单位，得1分，满分1分。【必须在响应文件中提供相关证明材料复印件加盖供应商公章，否则不予计分。】</w:t>
            </w:r>
          </w:p>
          <w:p>
            <w:pPr>
              <w:pStyle w:val="27"/>
              <w:numPr>
                <w:ilvl w:val="0"/>
                <w:numId w:val="2"/>
              </w:numPr>
              <w:adjustRightInd w:val="0"/>
              <w:snapToGrid w:val="0"/>
              <w:spacing w:line="380" w:lineRule="exact"/>
              <w:jc w:val="left"/>
              <w:rPr>
                <w:rFonts w:asciiTheme="minorEastAsia" w:hAnsiTheme="minorEastAsia" w:eastAsiaTheme="minorEastAsia"/>
                <w:bCs/>
                <w:sz w:val="21"/>
              </w:rPr>
            </w:pPr>
            <w:r>
              <w:rPr>
                <w:rFonts w:hint="eastAsia" w:asciiTheme="minorEastAsia" w:hAnsiTheme="minorEastAsia" w:eastAsiaTheme="minorEastAsia"/>
                <w:bCs/>
                <w:sz w:val="21"/>
              </w:rPr>
              <w:t>供应商被评为广西优秀团餐品牌企业，得1分，满分1分。【必须在响应文件中提供相关证明材料复印件加盖供应商公章，否则不予计分。】</w:t>
            </w:r>
          </w:p>
          <w:p>
            <w:pPr>
              <w:pStyle w:val="27"/>
              <w:numPr>
                <w:ilvl w:val="0"/>
                <w:numId w:val="2"/>
              </w:numPr>
              <w:adjustRightInd w:val="0"/>
              <w:snapToGrid w:val="0"/>
              <w:spacing w:line="380" w:lineRule="exact"/>
              <w:jc w:val="left"/>
              <w:rPr>
                <w:rFonts w:asciiTheme="minorEastAsia" w:hAnsiTheme="minorEastAsia" w:eastAsiaTheme="minorEastAsia"/>
                <w:bCs/>
                <w:sz w:val="21"/>
              </w:rPr>
            </w:pPr>
            <w:r>
              <w:rPr>
                <w:rFonts w:hint="eastAsia" w:asciiTheme="minorEastAsia" w:hAnsiTheme="minorEastAsia" w:eastAsiaTheme="minorEastAsia"/>
                <w:bCs/>
                <w:sz w:val="21"/>
                <w:highlight w:val="none"/>
              </w:rPr>
              <w:t>201</w:t>
            </w:r>
            <w:r>
              <w:rPr>
                <w:rFonts w:hint="eastAsia" w:asciiTheme="minorEastAsia" w:hAnsiTheme="minorEastAsia" w:eastAsiaTheme="minorEastAsia"/>
                <w:bCs/>
                <w:sz w:val="21"/>
                <w:highlight w:val="none"/>
                <w:lang w:val="en-US" w:eastAsia="zh-CN"/>
              </w:rPr>
              <w:t>9</w:t>
            </w:r>
            <w:r>
              <w:rPr>
                <w:rFonts w:hint="eastAsia" w:asciiTheme="minorEastAsia" w:hAnsiTheme="minorEastAsia" w:eastAsiaTheme="minorEastAsia"/>
                <w:bCs/>
                <w:sz w:val="21"/>
              </w:rPr>
              <w:t>年1月1日至今，供应商所经营的企事业单位食堂被监督部门评为食品安全示范食堂，得1分，满分2分。【必须在响应文件中提供相关证明材料复印件加盖供应商公章，否则不予计分。】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8" w:type="dxa"/>
            <w:vAlign w:val="center"/>
          </w:tcPr>
          <w:p>
            <w:pPr>
              <w:pStyle w:val="27"/>
              <w:adjustRightInd w:val="0"/>
              <w:snapToGrid w:val="0"/>
              <w:spacing w:line="380" w:lineRule="exact"/>
              <w:rPr>
                <w:rFonts w:asciiTheme="minorEastAsia" w:hAnsiTheme="minorEastAsia" w:eastAsiaTheme="minorEastAsia"/>
                <w:sz w:val="21"/>
              </w:rPr>
            </w:pPr>
            <w:r>
              <w:rPr>
                <w:rFonts w:hint="eastAsia" w:asciiTheme="minorEastAsia" w:hAnsiTheme="minorEastAsia" w:eastAsiaTheme="minorEastAsia"/>
                <w:b/>
                <w:bCs/>
                <w:sz w:val="21"/>
              </w:rPr>
              <w:t>（6）其他商务分（2分）</w:t>
            </w:r>
          </w:p>
        </w:tc>
        <w:tc>
          <w:tcPr>
            <w:tcW w:w="7218" w:type="dxa"/>
            <w:vAlign w:val="center"/>
          </w:tcPr>
          <w:p>
            <w:pPr>
              <w:pStyle w:val="27"/>
              <w:adjustRightInd w:val="0"/>
              <w:snapToGrid w:val="0"/>
              <w:spacing w:line="380" w:lineRule="exact"/>
              <w:ind w:firstLine="420" w:firstLineChars="200"/>
              <w:jc w:val="left"/>
              <w:rPr>
                <w:rFonts w:asciiTheme="minorEastAsia" w:hAnsiTheme="minorEastAsia" w:eastAsiaTheme="minorEastAsia"/>
                <w:sz w:val="21"/>
              </w:rPr>
            </w:pPr>
            <w:r>
              <w:rPr>
                <w:rFonts w:hint="eastAsia" w:asciiTheme="minorEastAsia" w:hAnsiTheme="minorEastAsia" w:eastAsiaTheme="minorEastAsia"/>
                <w:kern w:val="2"/>
                <w:sz w:val="21"/>
              </w:rPr>
              <w:t>供应商购买有食品安全责任险100万</w:t>
            </w:r>
            <w:r>
              <w:rPr>
                <w:rFonts w:hint="eastAsia" w:asciiTheme="minorEastAsia" w:hAnsiTheme="minorEastAsia" w:eastAsiaTheme="minorEastAsia"/>
                <w:kern w:val="2"/>
                <w:sz w:val="21"/>
                <w:lang w:val="en-US" w:eastAsia="zh-CN"/>
              </w:rPr>
              <w:t>元</w:t>
            </w:r>
            <w:r>
              <w:rPr>
                <w:rFonts w:hint="eastAsia" w:asciiTheme="minorEastAsia" w:hAnsiTheme="minorEastAsia" w:eastAsiaTheme="minorEastAsia"/>
                <w:kern w:val="2"/>
                <w:sz w:val="21"/>
              </w:rPr>
              <w:t>的，得1分。200万</w:t>
            </w:r>
            <w:r>
              <w:rPr>
                <w:rFonts w:hint="eastAsia" w:asciiTheme="minorEastAsia" w:hAnsiTheme="minorEastAsia" w:eastAsiaTheme="minorEastAsia"/>
                <w:kern w:val="2"/>
                <w:sz w:val="21"/>
                <w:lang w:val="en-US" w:eastAsia="zh-CN"/>
              </w:rPr>
              <w:t>元</w:t>
            </w:r>
            <w:r>
              <w:rPr>
                <w:rFonts w:hint="eastAsia" w:asciiTheme="minorEastAsia" w:hAnsiTheme="minorEastAsia" w:eastAsiaTheme="minorEastAsia"/>
                <w:kern w:val="2"/>
                <w:sz w:val="21"/>
              </w:rPr>
              <w:t>以上（含200万</w:t>
            </w:r>
            <w:r>
              <w:rPr>
                <w:rFonts w:hint="eastAsia" w:asciiTheme="minorEastAsia" w:hAnsiTheme="minorEastAsia" w:eastAsiaTheme="minorEastAsia"/>
                <w:kern w:val="2"/>
                <w:sz w:val="21"/>
                <w:lang w:val="en-US" w:eastAsia="zh-CN"/>
              </w:rPr>
              <w:t>元</w:t>
            </w:r>
            <w:r>
              <w:rPr>
                <w:rFonts w:hint="eastAsia" w:asciiTheme="minorEastAsia" w:hAnsiTheme="minorEastAsia" w:eastAsiaTheme="minorEastAsia"/>
                <w:kern w:val="2"/>
                <w:sz w:val="21"/>
              </w:rPr>
              <w:t>）的，得2分。满分2分。</w:t>
            </w:r>
            <w:r>
              <w:rPr>
                <w:rFonts w:hint="eastAsia" w:asciiTheme="minorEastAsia" w:hAnsiTheme="minorEastAsia" w:eastAsiaTheme="minorEastAsia"/>
                <w:bCs/>
                <w:sz w:val="21"/>
              </w:rPr>
              <w:t>【必须在响应文件中提供相关证明材料复印件加盖供应商公章，否则不予计分。】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8" w:type="dxa"/>
            <w:vAlign w:val="center"/>
          </w:tcPr>
          <w:p>
            <w:pPr>
              <w:adjustRightInd w:val="0"/>
              <w:snapToGrid w:val="0"/>
              <w:spacing w:line="40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总得分</w:t>
            </w:r>
          </w:p>
        </w:tc>
        <w:tc>
          <w:tcPr>
            <w:tcW w:w="7218" w:type="dxa"/>
            <w:vAlign w:val="center"/>
          </w:tcPr>
          <w:p>
            <w:pPr>
              <w:adjustRightInd w:val="0"/>
              <w:snapToGrid w:val="0"/>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b/>
                <w:szCs w:val="21"/>
              </w:rPr>
              <w:t>总得分=1+2</w:t>
            </w:r>
          </w:p>
        </w:tc>
      </w:tr>
    </w:tbl>
    <w:p>
      <w:pPr>
        <w:widowControl/>
        <w:wordWrap w:val="0"/>
        <w:spacing w:line="380" w:lineRule="exact"/>
        <w:ind w:firstLine="422" w:firstLineChars="200"/>
        <w:jc w:val="left"/>
        <w:textAlignment w:val="baseline"/>
        <w:rPr>
          <w:rFonts w:ascii="宋体" w:hAnsi="宋体"/>
          <w:b/>
          <w:bCs/>
          <w:sz w:val="20"/>
          <w:szCs w:val="21"/>
        </w:rPr>
      </w:pPr>
      <w:r>
        <w:rPr>
          <w:rFonts w:hint="eastAsia" w:ascii="宋体" w:hAnsi="宋体"/>
          <w:b/>
          <w:bCs/>
          <w:szCs w:val="21"/>
        </w:rPr>
        <w:t>三、成交候选人推荐原则</w:t>
      </w:r>
    </w:p>
    <w:p>
      <w:pPr>
        <w:tabs>
          <w:tab w:val="left" w:pos="7513"/>
        </w:tabs>
        <w:wordWrap w:val="0"/>
        <w:spacing w:line="380" w:lineRule="exact"/>
        <w:ind w:firstLine="420" w:firstLineChars="200"/>
        <w:jc w:val="left"/>
        <w:textAlignment w:val="baseline"/>
        <w:rPr>
          <w:rFonts w:ascii="宋体" w:hAnsi="宋体"/>
          <w:sz w:val="20"/>
          <w:szCs w:val="21"/>
        </w:rPr>
      </w:pPr>
      <w:r>
        <w:rPr>
          <w:rFonts w:hint="eastAsia" w:ascii="宋体" w:hAnsi="宋体"/>
          <w:szCs w:val="21"/>
        </w:rPr>
        <w:t>磋商小组应当根据</w:t>
      </w:r>
      <w:r>
        <w:rPr>
          <w:rFonts w:hint="eastAsia" w:ascii="宋体" w:hAnsi="宋体"/>
          <w:bCs/>
          <w:szCs w:val="21"/>
        </w:rPr>
        <w:t>综合</w:t>
      </w:r>
      <w:r>
        <w:rPr>
          <w:rFonts w:hint="eastAsia" w:ascii="宋体" w:hAnsi="宋体"/>
          <w:szCs w:val="21"/>
        </w:rPr>
        <w:t>评分情况，按照评审得分由高到低顺序推荐3名以上成交候选供应商，并编写评审报告。评审得分相同的，按照技术指标优劣顺序推荐。</w:t>
      </w:r>
    </w:p>
    <w:p>
      <w:pPr>
        <w:wordWrap w:val="0"/>
        <w:spacing w:line="380" w:lineRule="exact"/>
        <w:ind w:firstLine="420" w:firstLineChars="200"/>
        <w:jc w:val="left"/>
        <w:textAlignment w:val="baseline"/>
        <w:rPr>
          <w:rFonts w:ascii="宋体" w:hAnsi="宋体"/>
          <w:bCs/>
          <w:szCs w:val="21"/>
        </w:rPr>
      </w:pPr>
      <w:r>
        <w:rPr>
          <w:rFonts w:ascii="宋体" w:hAnsi="宋体"/>
          <w:bCs/>
          <w:szCs w:val="21"/>
        </w:rPr>
        <w:br w:type="page"/>
      </w:r>
    </w:p>
    <w:p>
      <w:pPr>
        <w:pStyle w:val="4"/>
        <w:keepLines w:val="0"/>
        <w:spacing w:line="415" w:lineRule="auto"/>
        <w:ind w:firstLine="2249" w:firstLineChars="700"/>
        <w:jc w:val="both"/>
        <w:textAlignment w:val="baseline"/>
      </w:pPr>
      <w:bookmarkStart w:id="25" w:name="_Toc47625231"/>
      <w:r>
        <w:rPr>
          <w:rFonts w:hint="eastAsia"/>
        </w:rPr>
        <w:t>第五章响应文件格式</w:t>
      </w:r>
      <w:bookmarkEnd w:id="25"/>
    </w:p>
    <w:p>
      <w:pPr>
        <w:spacing w:line="240" w:lineRule="atLeast"/>
        <w:jc w:val="center"/>
        <w:textAlignment w:val="baseline"/>
        <w:rPr>
          <w:rFonts w:ascii="宋体" w:hAnsi="宋体"/>
          <w:b/>
          <w:sz w:val="32"/>
          <w:szCs w:val="32"/>
        </w:rPr>
      </w:pPr>
    </w:p>
    <w:p>
      <w:pPr>
        <w:spacing w:line="240" w:lineRule="atLeast"/>
        <w:jc w:val="center"/>
        <w:textAlignment w:val="baseline"/>
        <w:rPr>
          <w:rFonts w:ascii="宋体" w:hAnsi="宋体"/>
          <w:b/>
          <w:sz w:val="32"/>
          <w:szCs w:val="32"/>
        </w:rPr>
      </w:pPr>
    </w:p>
    <w:p>
      <w:pPr>
        <w:spacing w:line="240" w:lineRule="atLeast"/>
        <w:jc w:val="center"/>
        <w:textAlignment w:val="baseline"/>
        <w:rPr>
          <w:rFonts w:ascii="宋体" w:hAnsi="宋体"/>
          <w:b/>
          <w:sz w:val="32"/>
          <w:szCs w:val="32"/>
        </w:rPr>
      </w:pPr>
    </w:p>
    <w:p>
      <w:pPr>
        <w:spacing w:line="240" w:lineRule="atLeast"/>
        <w:jc w:val="center"/>
        <w:textAlignment w:val="baseline"/>
        <w:rPr>
          <w:rFonts w:ascii="宋体" w:hAnsi="宋体"/>
          <w:b/>
          <w:sz w:val="32"/>
          <w:szCs w:val="32"/>
        </w:rPr>
      </w:pPr>
    </w:p>
    <w:p>
      <w:pPr>
        <w:spacing w:line="240" w:lineRule="atLeast"/>
        <w:jc w:val="center"/>
        <w:textAlignment w:val="baseline"/>
        <w:rPr>
          <w:rFonts w:ascii="宋体" w:hAnsi="宋体"/>
          <w:b/>
          <w:sz w:val="32"/>
          <w:szCs w:val="32"/>
        </w:rPr>
      </w:pPr>
    </w:p>
    <w:p>
      <w:pPr>
        <w:spacing w:line="240" w:lineRule="atLeast"/>
        <w:jc w:val="center"/>
        <w:textAlignment w:val="baseline"/>
        <w:rPr>
          <w:rFonts w:ascii="宋体" w:hAnsi="宋体"/>
          <w:b/>
          <w:sz w:val="32"/>
          <w:szCs w:val="32"/>
        </w:rPr>
      </w:pPr>
    </w:p>
    <w:p>
      <w:pPr>
        <w:spacing w:line="240" w:lineRule="atLeast"/>
        <w:jc w:val="center"/>
        <w:textAlignment w:val="baseline"/>
        <w:rPr>
          <w:rFonts w:ascii="宋体" w:hAnsi="宋体"/>
          <w:b/>
          <w:sz w:val="32"/>
          <w:szCs w:val="32"/>
        </w:rPr>
      </w:pPr>
    </w:p>
    <w:p>
      <w:pPr>
        <w:spacing w:line="240" w:lineRule="atLeast"/>
        <w:jc w:val="center"/>
        <w:textAlignment w:val="baseline"/>
        <w:rPr>
          <w:rFonts w:ascii="宋体" w:hAnsi="宋体"/>
          <w:b/>
          <w:sz w:val="32"/>
          <w:szCs w:val="32"/>
        </w:rPr>
      </w:pPr>
    </w:p>
    <w:p>
      <w:pPr>
        <w:spacing w:line="240" w:lineRule="atLeast"/>
        <w:jc w:val="center"/>
        <w:textAlignment w:val="baseline"/>
        <w:rPr>
          <w:rFonts w:ascii="宋体" w:hAnsi="宋体"/>
          <w:b/>
          <w:sz w:val="32"/>
          <w:szCs w:val="32"/>
        </w:rPr>
      </w:pPr>
    </w:p>
    <w:p>
      <w:pPr>
        <w:spacing w:line="240" w:lineRule="atLeast"/>
        <w:jc w:val="center"/>
        <w:textAlignment w:val="baseline"/>
        <w:rPr>
          <w:rFonts w:ascii="宋体" w:hAnsi="宋体"/>
          <w:b/>
          <w:sz w:val="32"/>
          <w:szCs w:val="32"/>
        </w:rPr>
      </w:pPr>
    </w:p>
    <w:p>
      <w:pPr>
        <w:spacing w:line="240" w:lineRule="atLeast"/>
        <w:jc w:val="center"/>
        <w:textAlignment w:val="baseline"/>
        <w:rPr>
          <w:rFonts w:ascii="宋体" w:hAnsi="宋体"/>
          <w:b/>
          <w:sz w:val="32"/>
          <w:szCs w:val="32"/>
        </w:rPr>
      </w:pPr>
    </w:p>
    <w:p>
      <w:pPr>
        <w:spacing w:line="240" w:lineRule="atLeast"/>
        <w:jc w:val="center"/>
        <w:textAlignment w:val="baseline"/>
        <w:rPr>
          <w:rFonts w:ascii="宋体" w:hAnsi="宋体"/>
          <w:b/>
          <w:sz w:val="32"/>
          <w:szCs w:val="32"/>
        </w:rPr>
      </w:pPr>
      <w:r>
        <w:rPr>
          <w:b/>
          <w:i/>
          <w:caps/>
        </w:rPr>
        <w:br w:type="textWrapping"/>
      </w:r>
    </w:p>
    <w:p>
      <w:pPr>
        <w:spacing w:line="240" w:lineRule="atLeast"/>
        <w:jc w:val="center"/>
        <w:rPr>
          <w:rFonts w:ascii="宋体" w:hAnsi="宋体"/>
          <w:b/>
          <w:sz w:val="32"/>
          <w:szCs w:val="32"/>
        </w:rPr>
      </w:pPr>
    </w:p>
    <w:p>
      <w:pPr>
        <w:spacing w:line="240" w:lineRule="atLeast"/>
        <w:jc w:val="center"/>
        <w:rPr>
          <w:rFonts w:ascii="宋体" w:hAnsi="宋体"/>
          <w:b/>
          <w:sz w:val="32"/>
          <w:szCs w:val="32"/>
        </w:rPr>
      </w:pPr>
    </w:p>
    <w:p>
      <w:pPr>
        <w:spacing w:line="240" w:lineRule="atLeast"/>
        <w:jc w:val="center"/>
        <w:rPr>
          <w:rFonts w:ascii="宋体" w:hAnsi="宋体"/>
          <w:b/>
          <w:sz w:val="32"/>
          <w:szCs w:val="32"/>
        </w:rPr>
      </w:pPr>
    </w:p>
    <w:p>
      <w:pPr>
        <w:spacing w:line="240" w:lineRule="atLeast"/>
        <w:jc w:val="center"/>
        <w:rPr>
          <w:rFonts w:hint="eastAsia" w:ascii="宋体" w:hAnsi="宋体"/>
          <w:b/>
          <w:sz w:val="44"/>
          <w:szCs w:val="44"/>
        </w:rPr>
      </w:pPr>
    </w:p>
    <w:p>
      <w:pPr>
        <w:spacing w:line="240" w:lineRule="atLeast"/>
        <w:jc w:val="center"/>
        <w:rPr>
          <w:rFonts w:hint="eastAsia" w:ascii="宋体" w:hAnsi="宋体"/>
          <w:b/>
          <w:sz w:val="44"/>
          <w:szCs w:val="44"/>
        </w:rPr>
      </w:pPr>
    </w:p>
    <w:p>
      <w:pPr>
        <w:spacing w:line="240" w:lineRule="atLeast"/>
        <w:jc w:val="center"/>
        <w:rPr>
          <w:rFonts w:hint="eastAsia" w:ascii="宋体" w:hAnsi="宋体"/>
          <w:b/>
          <w:sz w:val="44"/>
          <w:szCs w:val="44"/>
        </w:rPr>
      </w:pPr>
    </w:p>
    <w:p>
      <w:pPr>
        <w:spacing w:line="240" w:lineRule="atLeast"/>
        <w:jc w:val="center"/>
        <w:rPr>
          <w:rFonts w:hint="eastAsia" w:ascii="宋体" w:hAnsi="宋体"/>
          <w:b/>
          <w:sz w:val="44"/>
          <w:szCs w:val="44"/>
        </w:rPr>
      </w:pPr>
    </w:p>
    <w:p>
      <w:pPr>
        <w:spacing w:line="240" w:lineRule="atLeast"/>
        <w:jc w:val="center"/>
        <w:rPr>
          <w:rFonts w:hint="eastAsia" w:ascii="宋体" w:hAnsi="宋体"/>
          <w:b/>
          <w:sz w:val="44"/>
          <w:szCs w:val="44"/>
        </w:rPr>
      </w:pPr>
    </w:p>
    <w:p>
      <w:pPr>
        <w:spacing w:line="240" w:lineRule="atLeast"/>
        <w:jc w:val="center"/>
        <w:rPr>
          <w:rFonts w:ascii="宋体" w:hAnsi="宋体"/>
          <w:b/>
          <w:sz w:val="32"/>
          <w:szCs w:val="32"/>
        </w:rPr>
      </w:pPr>
      <w:r>
        <w:rPr>
          <w:rFonts w:hint="eastAsia" w:ascii="宋体" w:hAnsi="宋体"/>
          <w:b/>
          <w:sz w:val="44"/>
          <w:szCs w:val="44"/>
        </w:rPr>
        <w:t>响 应 文 件</w:t>
      </w:r>
      <w:r>
        <w:rPr>
          <w:rFonts w:hint="eastAsia" w:ascii="宋体" w:hAnsi="宋体"/>
          <w:szCs w:val="21"/>
        </w:rPr>
        <w:t>(封面）</w:t>
      </w: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left"/>
        <w:rPr>
          <w:rFonts w:ascii="仿宋_GB2312" w:hAnsi="仿宋_GB2312" w:eastAsia="仿宋_GB2312" w:cs="仿宋_GB2312"/>
          <w:sz w:val="32"/>
          <w:szCs w:val="32"/>
        </w:rPr>
      </w:pPr>
    </w:p>
    <w:p>
      <w:pPr>
        <w:tabs>
          <w:tab w:val="left" w:pos="3240"/>
        </w:tabs>
        <w:spacing w:line="360" w:lineRule="auto"/>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项目名称：</w:t>
      </w:r>
    </w:p>
    <w:p>
      <w:pPr>
        <w:spacing w:line="360" w:lineRule="auto"/>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所竞分标</w:t>
      </w:r>
      <w:r>
        <w:rPr>
          <w:rFonts w:hint="eastAsia" w:ascii="仿宋_GB2312" w:hAnsi="仿宋_GB2312" w:eastAsia="仿宋_GB2312" w:cs="仿宋_GB2312"/>
          <w:bCs/>
          <w:sz w:val="32"/>
          <w:szCs w:val="32"/>
        </w:rPr>
        <w:t>（如有则填写，无分标时填写“无”或留空）</w:t>
      </w:r>
      <w:r>
        <w:rPr>
          <w:rFonts w:hint="eastAsia" w:ascii="仿宋_GB2312" w:hAnsi="仿宋_GB2312" w:eastAsia="仿宋_GB2312" w:cs="仿宋_GB2312"/>
          <w:sz w:val="32"/>
          <w:szCs w:val="32"/>
        </w:rPr>
        <w:t>：</w:t>
      </w:r>
    </w:p>
    <w:p>
      <w:pPr>
        <w:spacing w:line="360" w:lineRule="auto"/>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供应商名称：</w:t>
      </w:r>
    </w:p>
    <w:p>
      <w:pPr>
        <w:snapToGrid w:val="0"/>
        <w:spacing w:before="156" w:beforeLines="50" w:after="50"/>
        <w:rPr>
          <w:rFonts w:ascii="仿宋_GB2312" w:hAnsi="仿宋_GB2312" w:eastAsia="仿宋_GB2312" w:cs="仿宋_GB2312"/>
          <w:sz w:val="32"/>
          <w:szCs w:val="32"/>
        </w:rPr>
      </w:pPr>
    </w:p>
    <w:p>
      <w:pPr>
        <w:snapToGrid w:val="0"/>
        <w:spacing w:before="156" w:beforeLines="50" w:after="50"/>
        <w:rPr>
          <w:rFonts w:ascii="仿宋_GB2312" w:hAnsi="仿宋_GB2312" w:eastAsia="仿宋_GB2312" w:cs="仿宋_GB2312"/>
          <w:sz w:val="32"/>
          <w:szCs w:val="32"/>
        </w:rPr>
      </w:pPr>
    </w:p>
    <w:p>
      <w:pPr>
        <w:snapToGrid w:val="0"/>
        <w:spacing w:before="156" w:beforeLines="50" w:after="50"/>
        <w:rPr>
          <w:rFonts w:ascii="仿宋_GB2312" w:hAnsi="仿宋_GB2312" w:eastAsia="仿宋_GB2312" w:cs="仿宋_GB2312"/>
          <w:sz w:val="32"/>
          <w:szCs w:val="32"/>
        </w:rPr>
      </w:pPr>
    </w:p>
    <w:p>
      <w:pPr>
        <w:snapToGrid w:val="0"/>
        <w:spacing w:before="156" w:beforeLines="50" w:after="50"/>
        <w:jc w:val="center"/>
        <w:rPr>
          <w:rFonts w:ascii="仿宋_GB2312" w:hAnsi="仿宋_GB2312" w:eastAsia="仿宋_GB2312" w:cs="仿宋_GB2312"/>
          <w:bCs/>
          <w:sz w:val="32"/>
          <w:szCs w:val="32"/>
        </w:rPr>
      </w:pPr>
      <w:r>
        <w:rPr>
          <w:rFonts w:hint="eastAsia" w:ascii="仿宋_GB2312" w:hAnsi="仿宋_GB2312" w:eastAsia="仿宋_GB2312" w:cs="仿宋_GB2312"/>
          <w:sz w:val="32"/>
          <w:szCs w:val="32"/>
        </w:rPr>
        <w:t>年    月    日</w:t>
      </w:r>
    </w:p>
    <w:p>
      <w:pPr>
        <w:spacing w:line="300" w:lineRule="auto"/>
        <w:rPr>
          <w:rFonts w:ascii="宋体" w:hAnsi="宋体"/>
          <w:szCs w:val="21"/>
        </w:rPr>
      </w:pPr>
    </w:p>
    <w:p>
      <w:pPr>
        <w:spacing w:line="300" w:lineRule="auto"/>
        <w:rPr>
          <w:rFonts w:ascii="宋体" w:hAnsi="宋体"/>
          <w:szCs w:val="21"/>
        </w:rPr>
      </w:pPr>
      <w:r>
        <w:rPr>
          <w:rFonts w:ascii="宋体" w:hAnsi="宋体"/>
          <w:szCs w:val="21"/>
        </w:rPr>
        <w:br w:type="page"/>
      </w:r>
    </w:p>
    <w:p>
      <w:pPr>
        <w:snapToGrid w:val="0"/>
        <w:spacing w:before="156" w:beforeLines="50" w:after="50"/>
        <w:outlineLvl w:val="1"/>
        <w:rPr>
          <w:rFonts w:ascii="宋体" w:hAnsi="宋体"/>
          <w:b/>
          <w:bCs/>
          <w:sz w:val="32"/>
          <w:szCs w:val="32"/>
        </w:rPr>
      </w:pPr>
      <w:bookmarkStart w:id="26" w:name="_Toc47625233"/>
      <w:bookmarkStart w:id="27" w:name="_Toc35611516"/>
      <w:bookmarkStart w:id="28" w:name="_Toc35611438"/>
      <w:bookmarkStart w:id="29" w:name="_Toc44229899"/>
      <w:bookmarkStart w:id="30" w:name="_Toc31728084"/>
      <w:bookmarkStart w:id="31" w:name="_Toc31723070"/>
      <w:r>
        <w:rPr>
          <w:rFonts w:hint="eastAsia" w:ascii="宋体" w:hAnsi="宋体"/>
          <w:b/>
          <w:bCs/>
          <w:sz w:val="32"/>
          <w:szCs w:val="32"/>
        </w:rPr>
        <w:t>一、资格证明文件格式</w:t>
      </w:r>
      <w:bookmarkEnd w:id="26"/>
      <w:bookmarkEnd w:id="27"/>
      <w:bookmarkEnd w:id="28"/>
      <w:bookmarkEnd w:id="29"/>
      <w:bookmarkEnd w:id="30"/>
      <w:bookmarkEnd w:id="31"/>
    </w:p>
    <w:p>
      <w:pPr>
        <w:snapToGrid w:val="0"/>
        <w:spacing w:before="156" w:beforeLines="50" w:after="50"/>
        <w:jc w:val="left"/>
        <w:rPr>
          <w:rFonts w:ascii="宋体" w:hAnsi="宋体"/>
          <w:b/>
          <w:sz w:val="24"/>
          <w:szCs w:val="24"/>
        </w:rPr>
      </w:pPr>
      <w:r>
        <w:rPr>
          <w:rFonts w:hint="eastAsia" w:ascii="宋体" w:hAnsi="宋体"/>
          <w:b/>
          <w:sz w:val="32"/>
          <w:szCs w:val="32"/>
        </w:rPr>
        <w:t>1.资格证明文件封面格式：</w:t>
      </w:r>
    </w:p>
    <w:p>
      <w:pPr>
        <w:snapToGrid w:val="0"/>
        <w:spacing w:before="156" w:beforeLines="50" w:after="50"/>
        <w:rPr>
          <w:rFonts w:ascii="宋体" w:hAnsi="宋体"/>
          <w:bCs/>
          <w:sz w:val="32"/>
          <w:szCs w:val="20"/>
        </w:rPr>
      </w:pPr>
      <w:r>
        <w:rPr>
          <w:rFonts w:hint="eastAsia" w:ascii="宋体" w:hAnsi="宋体"/>
          <w:bCs/>
          <w:szCs w:val="24"/>
        </w:rPr>
        <w:t>正本/副本</w:t>
      </w:r>
    </w:p>
    <w:p>
      <w:pPr>
        <w:snapToGrid w:val="0"/>
        <w:spacing w:before="156" w:beforeLines="50" w:after="50"/>
        <w:rPr>
          <w:rFonts w:ascii="宋体" w:hAnsi="宋体"/>
          <w:sz w:val="24"/>
          <w:szCs w:val="20"/>
        </w:rPr>
      </w:pPr>
    </w:p>
    <w:p>
      <w:pPr>
        <w:snapToGrid w:val="0"/>
        <w:spacing w:before="156" w:beforeLines="50" w:after="50"/>
        <w:rPr>
          <w:rFonts w:ascii="宋体" w:hAnsi="宋体"/>
          <w:sz w:val="24"/>
          <w:szCs w:val="20"/>
        </w:rPr>
      </w:pPr>
    </w:p>
    <w:p>
      <w:pPr>
        <w:snapToGrid w:val="0"/>
        <w:spacing w:before="156" w:beforeLines="50" w:after="5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w:t>
      </w: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p>
    <w:p>
      <w:pPr>
        <w:snapToGrid w:val="0"/>
        <w:spacing w:before="156" w:beforeLines="50" w:after="50"/>
        <w:ind w:firstLine="720" w:firstLineChars="225"/>
        <w:rPr>
          <w:rFonts w:ascii="仿宋_GB2312" w:hAnsi="仿宋_GB2312" w:eastAsia="仿宋_GB2312" w:cs="仿宋_GB2312"/>
          <w:bCs/>
          <w:sz w:val="32"/>
          <w:szCs w:val="32"/>
        </w:rPr>
      </w:pPr>
    </w:p>
    <w:p>
      <w:pPr>
        <w:snapToGrid w:val="0"/>
        <w:spacing w:before="156" w:beforeLines="50" w:after="50"/>
        <w:ind w:firstLine="720" w:firstLineChars="225"/>
        <w:rPr>
          <w:rFonts w:ascii="仿宋_GB2312" w:hAnsi="仿宋_GB2312" w:eastAsia="仿宋_GB2312" w:cs="仿宋_GB2312"/>
          <w:bCs/>
          <w:sz w:val="32"/>
          <w:szCs w:val="32"/>
        </w:rPr>
      </w:pPr>
    </w:p>
    <w:p>
      <w:pPr>
        <w:snapToGrid w:val="0"/>
        <w:spacing w:before="156" w:beforeLines="50" w:after="50"/>
        <w:ind w:firstLine="720" w:firstLineChars="22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所竞分标（如有则填写，无分标时填写“无”或留空）：</w:t>
      </w:r>
    </w:p>
    <w:p>
      <w:pPr>
        <w:snapToGrid w:val="0"/>
        <w:spacing w:before="156" w:beforeLines="50" w:after="50"/>
        <w:ind w:firstLine="720" w:firstLineChars="225"/>
        <w:rPr>
          <w:rFonts w:ascii="仿宋_GB2312" w:hAnsi="仿宋_GB2312" w:eastAsia="仿宋_GB2312" w:cs="仿宋_GB2312"/>
          <w:bCs/>
          <w:sz w:val="32"/>
          <w:szCs w:val="32"/>
        </w:rPr>
      </w:pPr>
    </w:p>
    <w:p>
      <w:pPr>
        <w:snapToGrid w:val="0"/>
        <w:spacing w:before="50" w:after="50"/>
        <w:ind w:firstLine="720" w:firstLineChars="22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供应商名称：</w:t>
      </w:r>
    </w:p>
    <w:p>
      <w:pPr>
        <w:snapToGrid w:val="0"/>
        <w:spacing w:before="50" w:after="50"/>
        <w:ind w:firstLine="720" w:firstLineChars="225"/>
        <w:rPr>
          <w:rFonts w:ascii="仿宋_GB2312" w:hAnsi="仿宋_GB2312" w:eastAsia="仿宋_GB2312" w:cs="仿宋_GB2312"/>
          <w:bCs/>
          <w:sz w:val="32"/>
          <w:szCs w:val="32"/>
        </w:rPr>
      </w:pPr>
    </w:p>
    <w:p>
      <w:pPr>
        <w:snapToGrid w:val="0"/>
        <w:spacing w:before="50" w:after="50"/>
        <w:ind w:firstLine="720" w:firstLineChars="225"/>
        <w:rPr>
          <w:rFonts w:ascii="仿宋_GB2312" w:hAnsi="仿宋_GB2312" w:eastAsia="仿宋_GB2312" w:cs="仿宋_GB2312"/>
          <w:bCs/>
          <w:sz w:val="32"/>
          <w:szCs w:val="32"/>
        </w:rPr>
      </w:pPr>
    </w:p>
    <w:p>
      <w:pPr>
        <w:snapToGrid w:val="0"/>
        <w:spacing w:before="50" w:after="50"/>
        <w:ind w:firstLine="720" w:firstLineChars="225"/>
        <w:rPr>
          <w:rFonts w:ascii="仿宋_GB2312" w:hAnsi="仿宋_GB2312" w:eastAsia="仿宋_GB2312" w:cs="仿宋_GB2312"/>
          <w:bCs/>
          <w:sz w:val="32"/>
          <w:szCs w:val="32"/>
        </w:rPr>
      </w:pPr>
    </w:p>
    <w:p>
      <w:pPr>
        <w:snapToGrid w:val="0"/>
        <w:spacing w:before="50" w:after="50"/>
        <w:ind w:firstLine="1280" w:firstLineChars="400"/>
        <w:rPr>
          <w:rFonts w:ascii="仿宋_GB2312" w:hAnsi="仿宋_GB2312" w:eastAsia="仿宋_GB2312" w:cs="仿宋_GB2312"/>
          <w:bCs/>
          <w:sz w:val="32"/>
          <w:szCs w:val="32"/>
        </w:rPr>
      </w:pPr>
    </w:p>
    <w:p>
      <w:pPr>
        <w:snapToGrid w:val="0"/>
        <w:spacing w:before="156" w:beforeLines="50" w:after="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napToGrid w:val="0"/>
        <w:spacing w:before="156" w:beforeLines="50" w:after="50"/>
        <w:ind w:left="142"/>
        <w:jc w:val="left"/>
        <w:rPr>
          <w:rFonts w:ascii="宋体" w:hAnsi="宋体"/>
          <w:b/>
          <w:bCs/>
          <w:sz w:val="32"/>
          <w:szCs w:val="32"/>
        </w:rPr>
      </w:pPr>
      <w:r>
        <w:rPr>
          <w:rFonts w:ascii="宋体" w:hAnsi="宋体"/>
          <w:sz w:val="24"/>
          <w:szCs w:val="24"/>
        </w:rPr>
        <w:br w:type="page"/>
      </w:r>
      <w:r>
        <w:rPr>
          <w:rFonts w:hint="eastAsia" w:ascii="宋体" w:hAnsi="宋体"/>
          <w:b/>
          <w:bCs/>
          <w:sz w:val="32"/>
          <w:szCs w:val="32"/>
        </w:rPr>
        <w:t>2.资格证明文件目录</w:t>
      </w:r>
    </w:p>
    <w:p>
      <w:pPr>
        <w:snapToGrid w:val="0"/>
        <w:spacing w:before="156" w:beforeLines="50" w:after="50"/>
        <w:ind w:firstLine="645"/>
        <w:rPr>
          <w:rFonts w:ascii="宋体" w:hAnsi="宋体"/>
          <w:sz w:val="32"/>
          <w:szCs w:val="32"/>
        </w:rPr>
      </w:pPr>
      <w:r>
        <w:rPr>
          <w:rFonts w:hint="eastAsia" w:ascii="宋体" w:hAnsi="宋体"/>
          <w:sz w:val="32"/>
          <w:szCs w:val="32"/>
        </w:rPr>
        <w:t>根据竞争性磋商文件规定及供应商提供的材料自行编写目录（部分格式后附）。</w:t>
      </w:r>
    </w:p>
    <w:p>
      <w:pPr>
        <w:snapToGrid w:val="0"/>
        <w:spacing w:before="156" w:beforeLines="50" w:after="50"/>
        <w:rPr>
          <w:rFonts w:ascii="宋体" w:hAnsi="宋体"/>
          <w:sz w:val="24"/>
          <w:szCs w:val="20"/>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20" w:lineRule="exact"/>
        <w:jc w:val="left"/>
        <w:rPr>
          <w:rFonts w:ascii="宋体" w:hAnsi="宋体"/>
          <w:szCs w:val="21"/>
        </w:rPr>
      </w:pPr>
      <w:r>
        <w:rPr>
          <w:rFonts w:ascii="宋体" w:hAnsi="宋体"/>
          <w:szCs w:val="21"/>
        </w:rPr>
        <w:br w:type="page"/>
      </w:r>
    </w:p>
    <w:p>
      <w:pPr>
        <w:spacing w:line="320" w:lineRule="exact"/>
        <w:jc w:val="center"/>
        <w:rPr>
          <w:rFonts w:ascii="宋体" w:hAnsi="宋体"/>
          <w:b/>
          <w:sz w:val="32"/>
          <w:szCs w:val="32"/>
        </w:rPr>
      </w:pPr>
      <w:r>
        <w:rPr>
          <w:rFonts w:hint="eastAsia" w:ascii="宋体" w:hAnsi="宋体"/>
          <w:b/>
          <w:sz w:val="32"/>
          <w:szCs w:val="32"/>
        </w:rPr>
        <w:t>竞标声明</w:t>
      </w:r>
    </w:p>
    <w:p>
      <w:pPr>
        <w:spacing w:line="300" w:lineRule="exact"/>
        <w:jc w:val="center"/>
        <w:rPr>
          <w:rFonts w:ascii="宋体" w:hAnsi="宋体"/>
          <w:sz w:val="24"/>
          <w:szCs w:val="20"/>
        </w:rPr>
      </w:pPr>
    </w:p>
    <w:p>
      <w:pPr>
        <w:spacing w:before="156" w:beforeLines="50" w:after="50" w:line="300" w:lineRule="exact"/>
        <w:contextualSpacing/>
        <w:rPr>
          <w:rFonts w:ascii="宋体" w:hAnsi="宋体" w:cs="宋体"/>
          <w:szCs w:val="21"/>
        </w:rPr>
      </w:pPr>
      <w:r>
        <w:rPr>
          <w:rFonts w:hint="eastAsia" w:ascii="宋体" w:hAnsi="宋体" w:cs="宋体"/>
          <w:szCs w:val="21"/>
        </w:rPr>
        <w:t>致：</w:t>
      </w:r>
      <w:r>
        <w:rPr>
          <w:rFonts w:hint="eastAsia" w:ascii="仿宋_GB2312" w:hAnsi="仿宋_GB2312" w:eastAsia="仿宋_GB2312" w:cs="仿宋_GB2312"/>
          <w:sz w:val="24"/>
          <w:szCs w:val="24"/>
          <w:u w:val="single"/>
        </w:rPr>
        <w:t>（采购人名称）</w:t>
      </w:r>
      <w:r>
        <w:rPr>
          <w:rFonts w:hint="eastAsia" w:ascii="宋体" w:hAnsi="宋体" w:cs="宋体"/>
          <w:szCs w:val="21"/>
        </w:rPr>
        <w:t>：</w:t>
      </w:r>
    </w:p>
    <w:p>
      <w:pPr>
        <w:spacing w:before="156" w:beforeLines="50" w:after="50" w:line="300" w:lineRule="exact"/>
        <w:ind w:firstLine="420" w:firstLineChars="200"/>
        <w:contextualSpacing/>
        <w:rPr>
          <w:rFonts w:ascii="宋体" w:hAnsi="宋体" w:cs="宋体"/>
          <w:szCs w:val="21"/>
        </w:rPr>
      </w:pPr>
      <w:r>
        <w:rPr>
          <w:rFonts w:hint="eastAsia" w:ascii="宋体" w:hAnsi="宋体" w:cs="宋体"/>
          <w:szCs w:val="21"/>
          <w:u w:val="single"/>
        </w:rPr>
        <w:t>（供应商名称）</w:t>
      </w:r>
      <w:r>
        <w:rPr>
          <w:rFonts w:hint="eastAsia" w:ascii="宋体" w:hAnsi="宋体" w:cs="宋体"/>
          <w:szCs w:val="21"/>
        </w:rPr>
        <w:t>系中华人民共和国合法供应商，经营地址。</w:t>
      </w:r>
    </w:p>
    <w:p>
      <w:pPr>
        <w:spacing w:before="156" w:beforeLines="50" w:line="300" w:lineRule="exact"/>
        <w:ind w:firstLine="420" w:firstLineChars="200"/>
        <w:contextualSpacing/>
        <w:rPr>
          <w:rFonts w:ascii="宋体" w:hAnsi="宋体" w:cs="宋体"/>
          <w:szCs w:val="21"/>
        </w:rPr>
      </w:pPr>
      <w:r>
        <w:rPr>
          <w:rFonts w:hint="eastAsia" w:ascii="宋体" w:hAnsi="宋体" w:cs="宋体"/>
          <w:szCs w:val="21"/>
        </w:rPr>
        <w:t>我方愿意参加贵方组织的</w:t>
      </w:r>
      <w:r>
        <w:rPr>
          <w:rFonts w:hint="eastAsia" w:ascii="宋体" w:hAnsi="宋体" w:cs="宋体"/>
          <w:szCs w:val="21"/>
          <w:u w:val="single"/>
        </w:rPr>
        <w:t>（项目名称）</w:t>
      </w:r>
      <w:r>
        <w:rPr>
          <w:rFonts w:hint="eastAsia" w:ascii="宋体" w:hAnsi="宋体" w:cs="宋体"/>
          <w:szCs w:val="21"/>
        </w:rPr>
        <w:t>项目的竞标，为便于贵方公正、择优地确定成交供应商及其竞标产品和服务，我方就本次竞标有关事项郑重声明如下：</w:t>
      </w:r>
    </w:p>
    <w:p>
      <w:pPr>
        <w:spacing w:before="156" w:beforeLines="50" w:line="300" w:lineRule="exact"/>
        <w:ind w:firstLine="420" w:firstLineChars="200"/>
        <w:contextualSpacing/>
        <w:rPr>
          <w:rFonts w:ascii="宋体" w:hAnsi="宋体" w:cs="宋体"/>
          <w:szCs w:val="21"/>
        </w:rPr>
      </w:pPr>
      <w:r>
        <w:rPr>
          <w:rFonts w:hint="eastAsia" w:ascii="宋体" w:hAnsi="宋体" w:cs="宋体"/>
          <w:szCs w:val="21"/>
        </w:rPr>
        <w:t>1.我方向贵方提交的所有响应文件、资料都是准确的和真实的。</w:t>
      </w:r>
    </w:p>
    <w:p>
      <w:pPr>
        <w:spacing w:before="156" w:beforeLines="50" w:line="300" w:lineRule="exact"/>
        <w:ind w:firstLine="420" w:firstLineChars="200"/>
        <w:contextualSpacing/>
        <w:rPr>
          <w:rFonts w:ascii="宋体" w:hAnsi="宋体" w:cs="宋体"/>
          <w:szCs w:val="21"/>
        </w:rPr>
      </w:pPr>
      <w:r>
        <w:rPr>
          <w:rFonts w:hint="eastAsia" w:ascii="宋体" w:hAnsi="宋体" w:cs="宋体"/>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before="156" w:beforeLines="50" w:line="300" w:lineRule="exact"/>
        <w:ind w:firstLine="420" w:firstLineChars="200"/>
        <w:contextualSpacing/>
        <w:rPr>
          <w:rFonts w:ascii="宋体" w:hAnsi="宋体" w:cs="宋体"/>
          <w:szCs w:val="21"/>
        </w:rPr>
      </w:pPr>
      <w:r>
        <w:rPr>
          <w:rFonts w:hint="eastAsia" w:ascii="宋体" w:hAnsi="宋体" w:cs="宋体"/>
          <w:szCs w:val="21"/>
        </w:rPr>
        <w:t>3.在此，我方宣布同意如下：</w:t>
      </w:r>
    </w:p>
    <w:p>
      <w:pPr>
        <w:spacing w:before="156" w:beforeLines="50" w:line="300" w:lineRule="exact"/>
        <w:ind w:firstLine="420" w:firstLineChars="200"/>
        <w:contextualSpacing/>
        <w:rPr>
          <w:rFonts w:ascii="宋体" w:hAnsi="宋体" w:cs="宋体"/>
          <w:szCs w:val="21"/>
        </w:rPr>
      </w:pPr>
      <w:r>
        <w:rPr>
          <w:rFonts w:hint="eastAsia" w:ascii="宋体" w:hAnsi="宋体" w:cs="宋体"/>
          <w:szCs w:val="21"/>
        </w:rPr>
        <w:t>（1）将按竞争性磋商文件的约定履行合同责任和义务；</w:t>
      </w:r>
    </w:p>
    <w:p>
      <w:pPr>
        <w:spacing w:before="156" w:beforeLines="50" w:line="300" w:lineRule="exact"/>
        <w:ind w:firstLine="420" w:firstLineChars="200"/>
        <w:contextualSpacing/>
        <w:rPr>
          <w:rFonts w:ascii="宋体" w:hAnsi="宋体" w:cs="宋体"/>
          <w:szCs w:val="21"/>
        </w:rPr>
      </w:pPr>
      <w:r>
        <w:rPr>
          <w:rFonts w:hint="eastAsia" w:ascii="宋体" w:hAnsi="宋体" w:cs="宋体"/>
          <w:szCs w:val="21"/>
        </w:rPr>
        <w:t>（2）已详细审查全部竞争性磋商文件，包括澄清或更正公告（如有）；</w:t>
      </w:r>
    </w:p>
    <w:p>
      <w:pPr>
        <w:spacing w:before="156" w:beforeLines="50" w:line="300" w:lineRule="exact"/>
        <w:ind w:firstLine="420" w:firstLineChars="200"/>
        <w:contextualSpacing/>
        <w:rPr>
          <w:rFonts w:ascii="宋体" w:hAnsi="宋体" w:cs="宋体"/>
          <w:szCs w:val="21"/>
        </w:rPr>
      </w:pPr>
      <w:r>
        <w:rPr>
          <w:rFonts w:hint="eastAsia" w:ascii="宋体" w:hAnsi="宋体" w:cs="宋体"/>
          <w:szCs w:val="21"/>
        </w:rPr>
        <w:t>（3）同意提供按照贵方可能要求的与磋商有关的一切数据或资料；</w:t>
      </w:r>
    </w:p>
    <w:p>
      <w:pPr>
        <w:spacing w:before="156" w:beforeLines="50" w:line="300" w:lineRule="exact"/>
        <w:ind w:firstLine="420" w:firstLineChars="200"/>
        <w:contextualSpacing/>
        <w:rPr>
          <w:rFonts w:ascii="宋体" w:hAnsi="宋体" w:cs="宋体"/>
          <w:szCs w:val="21"/>
        </w:rPr>
      </w:pPr>
      <w:r>
        <w:rPr>
          <w:rFonts w:hint="eastAsia" w:ascii="宋体" w:hAnsi="宋体" w:cs="宋体"/>
          <w:szCs w:val="21"/>
        </w:rPr>
        <w:t>（4）响应竞争性磋商文件规定的竞标有效期。</w:t>
      </w:r>
    </w:p>
    <w:p>
      <w:pPr>
        <w:spacing w:before="156" w:beforeLines="50" w:line="300" w:lineRule="exact"/>
        <w:ind w:firstLine="420" w:firstLineChars="200"/>
        <w:contextualSpacing/>
        <w:rPr>
          <w:rFonts w:ascii="宋体" w:hAnsi="宋体" w:cs="宋体"/>
          <w:szCs w:val="21"/>
        </w:rPr>
      </w:pPr>
      <w:r>
        <w:rPr>
          <w:rFonts w:hint="eastAsia" w:ascii="宋体" w:hAnsi="宋体" w:cs="宋体"/>
          <w:szCs w:val="21"/>
        </w:rPr>
        <w:t>4.我方承诺符合以下规定：</w:t>
      </w:r>
    </w:p>
    <w:p>
      <w:pPr>
        <w:spacing w:before="156" w:beforeLines="50" w:line="300" w:lineRule="exact"/>
        <w:ind w:firstLine="420" w:firstLineChars="200"/>
        <w:contextualSpacing/>
        <w:rPr>
          <w:rFonts w:ascii="宋体" w:hAnsi="宋体" w:cs="宋体"/>
          <w:szCs w:val="21"/>
        </w:rPr>
      </w:pPr>
      <w:r>
        <w:rPr>
          <w:rFonts w:hint="eastAsia" w:ascii="宋体" w:hAnsi="宋体" w:cs="宋体"/>
          <w:szCs w:val="21"/>
        </w:rPr>
        <w:t>（1）具有独立承担民事责任的能力；</w:t>
      </w:r>
    </w:p>
    <w:p>
      <w:pPr>
        <w:spacing w:before="156" w:beforeLines="50" w:line="300" w:lineRule="exact"/>
        <w:ind w:firstLine="420" w:firstLineChars="200"/>
        <w:contextualSpacing/>
        <w:rPr>
          <w:rFonts w:ascii="宋体" w:hAnsi="宋体" w:cs="宋体"/>
          <w:szCs w:val="21"/>
        </w:rPr>
      </w:pPr>
      <w:r>
        <w:rPr>
          <w:rFonts w:hint="eastAsia" w:ascii="宋体" w:hAnsi="宋体" w:cs="宋体"/>
          <w:szCs w:val="21"/>
        </w:rPr>
        <w:t>（2）具有良好的商业信誉和健全的财务会计制度；</w:t>
      </w:r>
    </w:p>
    <w:p>
      <w:pPr>
        <w:spacing w:before="156" w:beforeLines="50" w:line="300" w:lineRule="exact"/>
        <w:ind w:firstLine="420" w:firstLineChars="200"/>
        <w:contextualSpacing/>
        <w:rPr>
          <w:rFonts w:ascii="宋体" w:hAnsi="宋体" w:cs="宋体"/>
          <w:szCs w:val="21"/>
        </w:rPr>
      </w:pPr>
      <w:r>
        <w:rPr>
          <w:rFonts w:hint="eastAsia" w:ascii="宋体" w:hAnsi="宋体" w:cs="宋体"/>
          <w:szCs w:val="21"/>
        </w:rPr>
        <w:t>（3）具有履行合同所必需的设备和专业技术能力；</w:t>
      </w:r>
    </w:p>
    <w:p>
      <w:pPr>
        <w:spacing w:before="156" w:beforeLines="50" w:line="300" w:lineRule="exact"/>
        <w:ind w:firstLine="420" w:firstLineChars="200"/>
        <w:contextualSpacing/>
        <w:rPr>
          <w:rFonts w:ascii="宋体" w:hAnsi="宋体" w:cs="宋体"/>
          <w:szCs w:val="21"/>
        </w:rPr>
      </w:pPr>
      <w:r>
        <w:rPr>
          <w:rFonts w:hint="eastAsia" w:ascii="宋体" w:hAnsi="宋体" w:cs="宋体"/>
          <w:szCs w:val="21"/>
        </w:rPr>
        <w:t>（4）有依法缴纳税收和社会保障资金的良好记录；</w:t>
      </w:r>
    </w:p>
    <w:p>
      <w:pPr>
        <w:spacing w:before="156" w:beforeLines="50" w:line="300" w:lineRule="exact"/>
        <w:ind w:firstLine="420" w:firstLineChars="200"/>
        <w:contextualSpacing/>
        <w:rPr>
          <w:rFonts w:ascii="宋体" w:hAnsi="宋体" w:cs="宋体"/>
          <w:szCs w:val="21"/>
        </w:rPr>
      </w:pPr>
      <w:r>
        <w:rPr>
          <w:rFonts w:hint="eastAsia" w:ascii="宋体" w:hAnsi="宋体" w:cs="宋体"/>
          <w:szCs w:val="21"/>
        </w:rPr>
        <w:t>（5）参加采购活动前三年内，在经营活动中没有重大违法记录；</w:t>
      </w:r>
    </w:p>
    <w:p>
      <w:pPr>
        <w:spacing w:before="156" w:beforeLines="50" w:line="300" w:lineRule="exact"/>
        <w:ind w:firstLine="420" w:firstLineChars="200"/>
        <w:contextualSpacing/>
        <w:rPr>
          <w:rFonts w:ascii="宋体" w:hAnsi="宋体" w:cs="宋体"/>
          <w:szCs w:val="21"/>
        </w:rPr>
      </w:pPr>
      <w:r>
        <w:rPr>
          <w:rFonts w:hint="eastAsia" w:ascii="宋体" w:hAnsi="宋体" w:cs="宋体"/>
          <w:szCs w:val="21"/>
        </w:rPr>
        <w:t>（6）法律、行政法规规定的其他条件。</w:t>
      </w:r>
    </w:p>
    <w:p>
      <w:pPr>
        <w:spacing w:before="156" w:beforeLines="50" w:line="300" w:lineRule="exact"/>
        <w:ind w:firstLine="420" w:firstLineChars="200"/>
        <w:contextualSpacing/>
        <w:rPr>
          <w:rFonts w:ascii="宋体" w:hAnsi="宋体" w:cs="宋体"/>
          <w:szCs w:val="21"/>
        </w:rPr>
      </w:pPr>
      <w:r>
        <w:rPr>
          <w:rFonts w:hint="eastAsia" w:ascii="宋体" w:hAnsi="宋体" w:cs="宋体"/>
          <w:szCs w:val="21"/>
        </w:rPr>
        <w:t>5.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本项目规定的供应商资格条件，我方对此声明负全部法律责任。</w:t>
      </w:r>
    </w:p>
    <w:p>
      <w:pPr>
        <w:spacing w:before="156" w:beforeLines="50" w:line="300" w:lineRule="exact"/>
        <w:ind w:firstLine="420" w:firstLineChars="200"/>
        <w:contextualSpacing/>
        <w:rPr>
          <w:rFonts w:ascii="宋体" w:hAnsi="宋体" w:cs="宋体"/>
          <w:szCs w:val="21"/>
        </w:rPr>
      </w:pPr>
      <w:r>
        <w:rPr>
          <w:rFonts w:hint="eastAsia" w:ascii="宋体" w:hAnsi="宋体" w:cs="宋体"/>
          <w:szCs w:val="21"/>
        </w:rPr>
        <w:t>6.我方就对本次响应文件进行注明如下：（两项内容中必须选择一项）</w:t>
      </w:r>
    </w:p>
    <w:p>
      <w:pPr>
        <w:spacing w:line="300" w:lineRule="exact"/>
        <w:ind w:firstLine="420" w:firstLineChars="200"/>
        <w:contextualSpacing/>
        <w:rPr>
          <w:rFonts w:ascii="宋体" w:hAnsi="宋体" w:cs="宋体"/>
          <w:szCs w:val="21"/>
        </w:rPr>
      </w:pPr>
      <w:r>
        <w:rPr>
          <w:rFonts w:hint="eastAsia" w:ascii="宋体" w:hAnsi="宋体" w:cs="宋体"/>
          <w:szCs w:val="21"/>
        </w:rPr>
        <w:t>□我方本次响应文件</w:t>
      </w:r>
      <w:r>
        <w:rPr>
          <w:rFonts w:hint="eastAsia" w:ascii="宋体" w:hAnsi="宋体" w:cs="宋体"/>
          <w:kern w:val="0"/>
          <w:szCs w:val="21"/>
        </w:rPr>
        <w:t>内容中</w:t>
      </w:r>
      <w:r>
        <w:rPr>
          <w:rFonts w:hint="eastAsia" w:ascii="宋体" w:hAnsi="宋体" w:cs="宋体"/>
          <w:szCs w:val="21"/>
        </w:rPr>
        <w:t>未</w:t>
      </w:r>
      <w:r>
        <w:rPr>
          <w:rFonts w:hint="eastAsia" w:ascii="宋体" w:hAnsi="宋体" w:cs="宋体"/>
          <w:kern w:val="0"/>
          <w:szCs w:val="21"/>
        </w:rPr>
        <w:t>涉及商业秘密；</w:t>
      </w:r>
    </w:p>
    <w:p>
      <w:pPr>
        <w:spacing w:line="300" w:lineRule="exact"/>
        <w:ind w:firstLine="420" w:firstLineChars="200"/>
        <w:contextualSpacing/>
        <w:rPr>
          <w:rFonts w:ascii="宋体" w:hAnsi="宋体" w:cs="宋体"/>
          <w:szCs w:val="21"/>
        </w:rPr>
      </w:pPr>
      <w:r>
        <w:rPr>
          <w:rFonts w:hint="eastAsia" w:ascii="宋体" w:hAnsi="宋体" w:cs="宋体"/>
          <w:szCs w:val="21"/>
        </w:rPr>
        <w:t>□我方本次响应文件</w:t>
      </w:r>
      <w:r>
        <w:rPr>
          <w:rFonts w:hint="eastAsia" w:ascii="宋体" w:hAnsi="宋体" w:cs="宋体"/>
          <w:kern w:val="0"/>
          <w:szCs w:val="21"/>
        </w:rPr>
        <w:t>涉及商业秘密的内容有：；</w:t>
      </w:r>
    </w:p>
    <w:p>
      <w:pPr>
        <w:spacing w:line="300" w:lineRule="exact"/>
        <w:ind w:firstLine="420" w:firstLineChars="200"/>
        <w:contextualSpacing/>
        <w:rPr>
          <w:rFonts w:ascii="宋体" w:hAnsi="宋体" w:cs="宋体"/>
          <w:kern w:val="0"/>
          <w:szCs w:val="21"/>
          <w:u w:val="single"/>
        </w:rPr>
      </w:pPr>
      <w:r>
        <w:rPr>
          <w:rFonts w:hint="eastAsia" w:ascii="宋体" w:hAnsi="宋体" w:cs="宋体"/>
          <w:kern w:val="0"/>
          <w:szCs w:val="21"/>
        </w:rPr>
        <w:t>7.与本磋商有关的一切正式往来信函请寄：邮政编号：</w:t>
      </w:r>
    </w:p>
    <w:p>
      <w:pPr>
        <w:spacing w:line="300" w:lineRule="exact"/>
        <w:ind w:firstLine="420" w:firstLineChars="200"/>
        <w:contextualSpacing/>
        <w:rPr>
          <w:rFonts w:ascii="宋体" w:hAnsi="宋体" w:cs="宋体"/>
          <w:kern w:val="0"/>
          <w:szCs w:val="21"/>
        </w:rPr>
      </w:pPr>
      <w:r>
        <w:rPr>
          <w:rFonts w:hint="eastAsia" w:ascii="宋体" w:hAnsi="宋体" w:cs="宋体"/>
          <w:kern w:val="0"/>
          <w:szCs w:val="21"/>
        </w:rPr>
        <w:t>电话/传真： 电子函件：</w:t>
      </w:r>
    </w:p>
    <w:p>
      <w:pPr>
        <w:tabs>
          <w:tab w:val="left" w:pos="939"/>
        </w:tabs>
        <w:spacing w:line="300" w:lineRule="exact"/>
        <w:ind w:left="141" w:leftChars="67" w:firstLine="315" w:firstLineChars="150"/>
        <w:contextualSpacing/>
        <w:rPr>
          <w:rFonts w:ascii="宋体" w:hAnsi="宋体" w:cs="宋体"/>
          <w:szCs w:val="21"/>
        </w:rPr>
      </w:pPr>
      <w:r>
        <w:rPr>
          <w:rFonts w:hint="eastAsia" w:ascii="宋体" w:hAnsi="宋体" w:cs="宋体"/>
          <w:szCs w:val="21"/>
        </w:rPr>
        <w:t>开户银行：  帐号：</w:t>
      </w:r>
    </w:p>
    <w:p>
      <w:pPr>
        <w:tabs>
          <w:tab w:val="left" w:pos="939"/>
        </w:tabs>
        <w:spacing w:line="300" w:lineRule="exact"/>
        <w:ind w:firstLine="420" w:firstLineChars="200"/>
        <w:contextualSpacing/>
        <w:rPr>
          <w:rFonts w:ascii="宋体" w:hAnsi="宋体" w:cs="宋体"/>
          <w:szCs w:val="21"/>
        </w:rPr>
      </w:pPr>
      <w:r>
        <w:rPr>
          <w:rFonts w:hint="eastAsia" w:ascii="宋体" w:hAnsi="宋体" w:cs="宋体"/>
          <w:szCs w:val="21"/>
        </w:rPr>
        <w:t>8.以上事项如有虚假或隐瞒，我方愿意承担一切后果，并不再寻求任何旨在减轻或免除法律责任的辩解。</w:t>
      </w:r>
    </w:p>
    <w:p>
      <w:pPr>
        <w:tabs>
          <w:tab w:val="left" w:pos="939"/>
        </w:tabs>
        <w:spacing w:line="300" w:lineRule="exact"/>
        <w:ind w:left="141" w:leftChars="67" w:firstLine="315" w:firstLineChars="150"/>
        <w:contextualSpacing/>
        <w:rPr>
          <w:rFonts w:ascii="宋体" w:hAnsi="宋体" w:cs="宋体"/>
          <w:szCs w:val="21"/>
        </w:rPr>
      </w:pPr>
      <w:r>
        <w:rPr>
          <w:rFonts w:hint="eastAsia" w:ascii="宋体" w:hAnsi="宋体" w:cs="宋体"/>
          <w:szCs w:val="21"/>
        </w:rPr>
        <w:t>特此承诺。</w:t>
      </w:r>
    </w:p>
    <w:p>
      <w:pPr>
        <w:spacing w:line="300" w:lineRule="exact"/>
        <w:ind w:firstLine="3780" w:firstLineChars="1800"/>
        <w:rPr>
          <w:rFonts w:hint="eastAsia" w:ascii="Times New Roman" w:hAnsi="Times New Roman"/>
          <w:szCs w:val="24"/>
        </w:rPr>
      </w:pPr>
    </w:p>
    <w:p>
      <w:pPr>
        <w:spacing w:line="300" w:lineRule="exact"/>
        <w:ind w:firstLine="3780" w:firstLineChars="1800"/>
        <w:rPr>
          <w:rFonts w:ascii="Times New Roman" w:hAnsi="Times New Roman"/>
          <w:szCs w:val="24"/>
        </w:rPr>
      </w:pPr>
      <w:r>
        <w:rPr>
          <w:rFonts w:hint="eastAsia" w:ascii="Times New Roman" w:hAnsi="Times New Roman"/>
          <w:szCs w:val="24"/>
        </w:rPr>
        <w:t>法定代表人（签字）：</w:t>
      </w:r>
    </w:p>
    <w:p>
      <w:pPr>
        <w:spacing w:line="300" w:lineRule="exact"/>
        <w:ind w:firstLine="3780" w:firstLineChars="1800"/>
        <w:rPr>
          <w:rFonts w:ascii="宋体" w:hAnsi="宋体" w:cs="宋体"/>
          <w:szCs w:val="21"/>
          <w:u w:val="single"/>
        </w:rPr>
      </w:pPr>
      <w:r>
        <w:rPr>
          <w:rFonts w:hint="eastAsia" w:ascii="Times New Roman" w:hAnsi="Times New Roman"/>
          <w:szCs w:val="24"/>
        </w:rPr>
        <w:t>供应商（盖公章）：</w:t>
      </w:r>
    </w:p>
    <w:p>
      <w:pPr>
        <w:spacing w:before="156" w:beforeLines="50" w:after="50" w:line="300" w:lineRule="exact"/>
        <w:ind w:right="482" w:firstLine="210" w:firstLineChars="100"/>
        <w:contextualSpacing/>
        <w:jc w:val="center"/>
        <w:rPr>
          <w:rFonts w:ascii="宋体" w:hAnsi="宋体"/>
          <w:szCs w:val="21"/>
        </w:rPr>
      </w:pPr>
      <w:r>
        <w:rPr>
          <w:rFonts w:hint="eastAsia" w:ascii="Times New Roman" w:hAnsi="Times New Roman"/>
          <w:szCs w:val="24"/>
        </w:rPr>
        <w:t>年月日</w:t>
      </w:r>
    </w:p>
    <w:p>
      <w:pPr>
        <w:snapToGrid w:val="0"/>
        <w:spacing w:before="156" w:beforeLines="50" w:after="50"/>
        <w:jc w:val="center"/>
        <w:rPr>
          <w:rFonts w:ascii="宋体" w:hAnsi="宋体"/>
          <w:b/>
          <w:sz w:val="32"/>
          <w:szCs w:val="32"/>
        </w:rPr>
      </w:pPr>
    </w:p>
    <w:p>
      <w:pPr>
        <w:spacing w:line="520" w:lineRule="exact"/>
        <w:jc w:val="center"/>
        <w:rPr>
          <w:rFonts w:ascii="仿宋_GB2312" w:hAnsi="仿宋_GB2312" w:eastAsia="仿宋_GB2312" w:cs="仿宋_GB2312"/>
          <w:sz w:val="32"/>
          <w:szCs w:val="32"/>
        </w:rPr>
      </w:pPr>
      <w:r>
        <w:rPr>
          <w:rFonts w:ascii="宋体" w:hAnsi="宋体"/>
          <w:sz w:val="28"/>
          <w:szCs w:val="28"/>
        </w:rPr>
        <w:br w:type="page"/>
      </w:r>
      <w:r>
        <w:rPr>
          <w:rFonts w:hint="eastAsia" w:ascii="方正小标宋简体" w:hAnsi="方正小标宋简体" w:eastAsia="方正小标宋简体" w:cs="方正小标宋简体"/>
          <w:sz w:val="44"/>
          <w:szCs w:val="44"/>
        </w:rPr>
        <w:t>无串通竞标行为的承诺函</w:t>
      </w:r>
    </w:p>
    <w:p>
      <w:pPr>
        <w:spacing w:line="400" w:lineRule="exact"/>
        <w:ind w:firstLine="640" w:firstLineChars="200"/>
        <w:rPr>
          <w:rFonts w:ascii="仿宋_GB2312" w:hAnsi="仿宋_GB2312" w:eastAsia="仿宋_GB2312" w:cs="仿宋_GB2312"/>
          <w:sz w:val="32"/>
          <w:szCs w:val="32"/>
        </w:rPr>
      </w:pPr>
    </w:p>
    <w:p>
      <w:pPr>
        <w:spacing w:line="3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一、我方承诺无下列相互串通竞标的情形：</w:t>
      </w:r>
    </w:p>
    <w:p>
      <w:pPr>
        <w:spacing w:line="3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1.不同供应商的响应文件由同一单位或者个人编制；或不同供应商报名的IP地址一致的；</w:t>
      </w:r>
    </w:p>
    <w:p>
      <w:pPr>
        <w:spacing w:line="3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2.不同供应商委托同一单位或者个人办理竞标事宜；</w:t>
      </w:r>
    </w:p>
    <w:p>
      <w:pPr>
        <w:spacing w:line="3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3.不同供应商的响应文件载明的项目管理员为同一个人；</w:t>
      </w:r>
    </w:p>
    <w:p>
      <w:pPr>
        <w:spacing w:line="3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4.不</w:t>
      </w:r>
      <w:r>
        <w:rPr>
          <w:rFonts w:hint="eastAsia" w:ascii="仿宋_GB2312" w:hAnsi="仿宋_GB2312" w:eastAsia="仿宋_GB2312" w:cs="仿宋_GB2312"/>
          <w:spacing w:val="-6"/>
          <w:sz w:val="32"/>
          <w:szCs w:val="32"/>
        </w:rPr>
        <w:t>同供应商的响应文件异常一致或竞标报价呈规律性差异；</w:t>
      </w:r>
    </w:p>
    <w:p>
      <w:pPr>
        <w:spacing w:line="3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5.不同供应商的响应文件相互混装；</w:t>
      </w:r>
    </w:p>
    <w:p>
      <w:pPr>
        <w:spacing w:line="3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6.不同供应商的磋商保证金从同一单位或者个人账户转出。</w:t>
      </w:r>
    </w:p>
    <w:p>
      <w:pPr>
        <w:spacing w:line="3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二、我方承诺无下列恶意串通的情形：</w:t>
      </w:r>
    </w:p>
    <w:p>
      <w:pPr>
        <w:spacing w:line="3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1.供应商直接或者间接从采购人或者采购代理机构处获得其他供应商的相关信息并修改其响应文件；</w:t>
      </w:r>
    </w:p>
    <w:p>
      <w:pPr>
        <w:spacing w:line="3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2.供应商按照采购人或者采购代理机构的授意撤换、修改响应文件；</w:t>
      </w:r>
    </w:p>
    <w:p>
      <w:pPr>
        <w:spacing w:line="3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3.供</w:t>
      </w:r>
      <w:r>
        <w:rPr>
          <w:rFonts w:hint="eastAsia" w:ascii="仿宋_GB2312" w:hAnsi="仿宋_GB2312" w:eastAsia="仿宋_GB2312" w:cs="仿宋_GB2312"/>
          <w:spacing w:val="-6"/>
          <w:sz w:val="32"/>
          <w:szCs w:val="32"/>
        </w:rPr>
        <w:t>应商之间协商报价、技术方案等响应文件的实质性内容；</w:t>
      </w:r>
    </w:p>
    <w:p>
      <w:pPr>
        <w:spacing w:line="3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4.属于同一集团、协会、商会等组织成员的供应商按照该组织要求协同参加采购活动；</w:t>
      </w:r>
    </w:p>
    <w:p>
      <w:pPr>
        <w:spacing w:line="3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5.供应商之间事先约定一致抬高或者压低竞标报价，或者在竞争性磋商项目中事先约定轮流以高价位或者低价位成交，或者事先约定由某一特定供应商成交，然后再参加竞标；</w:t>
      </w:r>
    </w:p>
    <w:p>
      <w:pPr>
        <w:spacing w:line="3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6.供应商之间商定部分供应商放弃参加采购活动或者放弃成交；</w:t>
      </w:r>
    </w:p>
    <w:p>
      <w:pPr>
        <w:spacing w:line="360" w:lineRule="exact"/>
        <w:ind w:firstLine="640" w:firstLineChars="200"/>
        <w:rPr>
          <w:rFonts w:ascii="仿宋_GB2312" w:hAnsi="仿宋_GB2312" w:eastAsia="仿宋_GB2312" w:cs="仿宋_GB2312"/>
          <w:sz w:val="32"/>
          <w:szCs w:val="32"/>
        </w:rPr>
      </w:pPr>
    </w:p>
    <w:p>
      <w:pPr>
        <w:spacing w:line="3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以上情形一经核查属实，我方愿意承担一切后果，并不再寻求任何旨在减轻或免除法律责任的辩解。</w:t>
      </w:r>
    </w:p>
    <w:p>
      <w:pPr>
        <w:spacing w:line="360" w:lineRule="exact"/>
        <w:ind w:firstLine="640" w:firstLineChars="200"/>
        <w:rPr>
          <w:rFonts w:ascii="仿宋_GB2312" w:hAnsi="仿宋_GB2312" w:eastAsia="仿宋_GB2312" w:cs="仿宋_GB2312"/>
          <w:sz w:val="32"/>
          <w:szCs w:val="32"/>
        </w:rPr>
      </w:pPr>
    </w:p>
    <w:p>
      <w:pPr>
        <w:spacing w:line="360" w:lineRule="exact"/>
        <w:ind w:firstLine="640" w:firstLineChars="200"/>
        <w:rPr>
          <w:rFonts w:ascii="仿宋_GB2312" w:hAnsi="仿宋_GB2312" w:eastAsia="仿宋_GB2312" w:cs="仿宋_GB2312"/>
          <w:sz w:val="32"/>
          <w:szCs w:val="32"/>
        </w:rPr>
      </w:pPr>
    </w:p>
    <w:p>
      <w:pPr>
        <w:spacing w:line="360" w:lineRule="exact"/>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供应商（盖公章）：</w:t>
      </w:r>
    </w:p>
    <w:p>
      <w:pPr>
        <w:spacing w:line="3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before="312" w:beforeLines="100" w:after="156" w:afterLines="50" w:line="520" w:lineRule="exact"/>
        <w:ind w:left="540"/>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法定代表人证明书</w:t>
      </w:r>
    </w:p>
    <w:p>
      <w:pPr>
        <w:spacing w:line="520" w:lineRule="exact"/>
        <w:ind w:left="540"/>
        <w:rPr>
          <w:rFonts w:ascii="仿宋_GB2312" w:hAnsi="仿宋_GB2312" w:eastAsia="仿宋_GB2312" w:cs="仿宋_GB2312"/>
          <w:sz w:val="32"/>
          <w:szCs w:val="32"/>
        </w:rPr>
      </w:pPr>
    </w:p>
    <w:p>
      <w:pPr>
        <w:spacing w:line="520" w:lineRule="exact"/>
        <w:ind w:left="54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供应商名称：</w:t>
      </w:r>
    </w:p>
    <w:p>
      <w:pPr>
        <w:spacing w:line="520" w:lineRule="exact"/>
        <w:ind w:left="540"/>
        <w:rPr>
          <w:rFonts w:ascii="仿宋_GB2312" w:hAnsi="仿宋_GB2312" w:eastAsia="仿宋_GB2312" w:cs="仿宋_GB2312"/>
          <w:sz w:val="32"/>
          <w:szCs w:val="32"/>
        </w:rPr>
      </w:pPr>
      <w:r>
        <w:rPr>
          <w:rFonts w:hint="eastAsia" w:ascii="仿宋_GB2312" w:hAnsi="仿宋_GB2312" w:eastAsia="仿宋_GB2312" w:cs="仿宋_GB2312"/>
          <w:sz w:val="32"/>
          <w:szCs w:val="32"/>
        </w:rPr>
        <w:t>地    址：</w:t>
      </w:r>
    </w:p>
    <w:p>
      <w:pPr>
        <w:spacing w:line="520" w:lineRule="exact"/>
        <w:ind w:left="540"/>
        <w:rPr>
          <w:rFonts w:ascii="仿宋_GB2312" w:hAnsi="仿宋_GB2312" w:eastAsia="仿宋_GB2312" w:cs="仿宋_GB2312"/>
          <w:sz w:val="32"/>
          <w:szCs w:val="32"/>
        </w:rPr>
      </w:pPr>
      <w:r>
        <w:rPr>
          <w:rFonts w:hint="eastAsia" w:ascii="仿宋_GB2312" w:hAnsi="仿宋_GB2312" w:eastAsia="仿宋_GB2312" w:cs="仿宋_GB2312"/>
          <w:sz w:val="32"/>
          <w:szCs w:val="32"/>
        </w:rPr>
        <w:t>成立时间：    年    月    日</w:t>
      </w:r>
    </w:p>
    <w:p>
      <w:pPr>
        <w:spacing w:line="520" w:lineRule="exact"/>
        <w:ind w:left="540"/>
        <w:rPr>
          <w:rFonts w:ascii="仿宋_GB2312" w:hAnsi="仿宋_GB2312" w:eastAsia="仿宋_GB2312" w:cs="仿宋_GB2312"/>
          <w:sz w:val="32"/>
          <w:szCs w:val="32"/>
        </w:rPr>
      </w:pPr>
      <w:r>
        <w:rPr>
          <w:rFonts w:hint="eastAsia" w:ascii="仿宋_GB2312" w:hAnsi="仿宋_GB2312" w:eastAsia="仿宋_GB2312" w:cs="仿宋_GB2312"/>
          <w:sz w:val="32"/>
          <w:szCs w:val="32"/>
        </w:rPr>
        <w:t>经营期限：</w:t>
      </w:r>
    </w:p>
    <w:p>
      <w:pPr>
        <w:spacing w:line="520" w:lineRule="exact"/>
        <w:ind w:left="540"/>
        <w:rPr>
          <w:rFonts w:ascii="仿宋_GB2312" w:hAnsi="仿宋_GB2312" w:eastAsia="仿宋_GB2312" w:cs="仿宋_GB2312"/>
          <w:sz w:val="32"/>
          <w:szCs w:val="32"/>
        </w:rPr>
      </w:pPr>
      <w:r>
        <w:rPr>
          <w:rFonts w:hint="eastAsia" w:ascii="仿宋_GB2312" w:hAnsi="仿宋_GB2312" w:eastAsia="仿宋_GB2312" w:cs="仿宋_GB2312"/>
          <w:sz w:val="32"/>
          <w:szCs w:val="32"/>
        </w:rPr>
        <w:t>姓    名：                  性     别：</w:t>
      </w:r>
    </w:p>
    <w:p>
      <w:pPr>
        <w:spacing w:line="520" w:lineRule="exact"/>
        <w:ind w:left="54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年    龄：                  职     务：</w:t>
      </w:r>
    </w:p>
    <w:p>
      <w:pPr>
        <w:spacing w:line="520" w:lineRule="exact"/>
        <w:ind w:left="54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spacing w:line="520" w:lineRule="exact"/>
        <w:ind w:left="540"/>
        <w:rPr>
          <w:rFonts w:ascii="仿宋_GB2312" w:hAnsi="仿宋_GB2312" w:eastAsia="仿宋_GB2312" w:cs="仿宋_GB2312"/>
          <w:sz w:val="32"/>
          <w:szCs w:val="32"/>
        </w:rPr>
      </w:pPr>
      <w:r>
        <w:rPr>
          <w:rFonts w:hint="eastAsia" w:ascii="仿宋_GB2312" w:hAnsi="仿宋_GB2312" w:eastAsia="仿宋_GB2312" w:cs="仿宋_GB2312"/>
          <w:sz w:val="32"/>
          <w:szCs w:val="32"/>
        </w:rPr>
        <w:t>系（供应商名称）的法定代表人。</w:t>
      </w:r>
    </w:p>
    <w:p>
      <w:pPr>
        <w:spacing w:line="520" w:lineRule="exact"/>
        <w:ind w:left="54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spacing w:line="520" w:lineRule="exact"/>
        <w:ind w:left="540"/>
        <w:rPr>
          <w:rFonts w:ascii="仿宋_GB2312" w:hAnsi="仿宋_GB2312" w:eastAsia="仿宋_GB2312" w:cs="仿宋_GB2312"/>
          <w:sz w:val="32"/>
          <w:szCs w:val="32"/>
        </w:rPr>
      </w:pPr>
    </w:p>
    <w:p>
      <w:pPr>
        <w:spacing w:line="520" w:lineRule="exact"/>
        <w:ind w:left="540"/>
        <w:rPr>
          <w:rFonts w:ascii="仿宋_GB2312" w:hAnsi="仿宋_GB2312" w:eastAsia="仿宋_GB2312" w:cs="仿宋_GB2312"/>
          <w:sz w:val="32"/>
          <w:szCs w:val="32"/>
        </w:rPr>
      </w:pPr>
    </w:p>
    <w:p>
      <w:pPr>
        <w:spacing w:line="520" w:lineRule="exact"/>
        <w:ind w:left="540"/>
        <w:rPr>
          <w:rFonts w:ascii="仿宋_GB2312" w:hAnsi="仿宋_GB2312" w:eastAsia="仿宋_GB2312" w:cs="仿宋_GB2312"/>
          <w:sz w:val="32"/>
          <w:szCs w:val="32"/>
        </w:rPr>
      </w:pPr>
      <w:r>
        <w:rPr>
          <w:rFonts w:hint="eastAsia" w:ascii="仿宋_GB2312" w:hAnsi="仿宋_GB2312" w:eastAsia="仿宋_GB2312" w:cs="仿宋_GB2312"/>
          <w:sz w:val="32"/>
          <w:szCs w:val="32"/>
        </w:rPr>
        <w:t>附件：法定代表人有效身份证正反面复印件</w:t>
      </w:r>
    </w:p>
    <w:p>
      <w:pPr>
        <w:spacing w:line="520" w:lineRule="exact"/>
        <w:ind w:left="540"/>
        <w:rPr>
          <w:rFonts w:ascii="仿宋_GB2312" w:hAnsi="仿宋_GB2312" w:eastAsia="仿宋_GB2312" w:cs="仿宋_GB2312"/>
          <w:sz w:val="32"/>
          <w:szCs w:val="32"/>
        </w:rPr>
      </w:pPr>
    </w:p>
    <w:p>
      <w:pPr>
        <w:wordWrap w:val="0"/>
        <w:spacing w:line="520" w:lineRule="exact"/>
        <w:ind w:left="5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供应商（盖公章）：</w:t>
      </w:r>
    </w:p>
    <w:p>
      <w:pPr>
        <w:snapToGrid w:val="0"/>
        <w:spacing w:before="156" w:beforeLines="50" w:after="50" w:line="520" w:lineRule="exact"/>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napToGrid w:val="0"/>
        <w:spacing w:before="156" w:beforeLines="50" w:after="50" w:line="520" w:lineRule="exact"/>
        <w:jc w:val="center"/>
        <w:rPr>
          <w:rFonts w:ascii="仿宋_GB2312" w:hAnsi="仿宋_GB2312" w:eastAsia="仿宋_GB2312" w:cs="仿宋_GB2312"/>
          <w:b/>
          <w:sz w:val="32"/>
          <w:szCs w:val="32"/>
        </w:rPr>
      </w:pPr>
    </w:p>
    <w:p>
      <w:pPr>
        <w:snapToGrid w:val="0"/>
        <w:spacing w:before="156" w:beforeLines="50" w:after="50" w:line="360" w:lineRule="exact"/>
        <w:jc w:val="left"/>
        <w:rPr>
          <w:rFonts w:ascii="仿宋_GB2312" w:hAnsi="仿宋_GB2312" w:eastAsia="仿宋_GB2312" w:cs="仿宋_GB2312"/>
          <w:szCs w:val="21"/>
        </w:rPr>
      </w:pPr>
    </w:p>
    <w:p>
      <w:pPr>
        <w:snapToGrid w:val="0"/>
        <w:spacing w:before="156" w:beforeLines="50" w:after="50" w:line="360" w:lineRule="exact"/>
        <w:jc w:val="left"/>
        <w:rPr>
          <w:rFonts w:ascii="仿宋_GB2312" w:hAnsi="仿宋_GB2312" w:eastAsia="仿宋_GB2312" w:cs="仿宋_GB2312"/>
          <w:szCs w:val="21"/>
        </w:rPr>
      </w:pPr>
      <w:r>
        <w:rPr>
          <w:rFonts w:hint="eastAsia" w:ascii="仿宋_GB2312" w:hAnsi="仿宋_GB2312" w:eastAsia="仿宋_GB2312" w:cs="仿宋_GB2312"/>
          <w:szCs w:val="21"/>
        </w:rPr>
        <w:t>注：1</w:t>
      </w:r>
      <w:r>
        <w:rPr>
          <w:rFonts w:ascii="仿宋_GB2312" w:hAnsi="仿宋_GB2312" w:eastAsia="仿宋_GB2312" w:cs="仿宋_GB2312"/>
          <w:szCs w:val="21"/>
        </w:rPr>
        <w:t>.</w:t>
      </w:r>
      <w:r>
        <w:rPr>
          <w:rFonts w:hint="eastAsia" w:ascii="仿宋_GB2312" w:hAnsi="仿宋_GB2312" w:eastAsia="仿宋_GB2312" w:cs="仿宋_GB2312"/>
          <w:szCs w:val="21"/>
        </w:rPr>
        <w:t>自然人竞标的无需提供。</w:t>
      </w:r>
    </w:p>
    <w:p>
      <w:pPr>
        <w:snapToGrid w:val="0"/>
        <w:spacing w:before="156" w:beforeLines="50" w:after="50" w:line="360" w:lineRule="exact"/>
        <w:ind w:firstLine="420" w:firstLineChars="200"/>
        <w:jc w:val="left"/>
        <w:rPr>
          <w:rFonts w:ascii="宋体" w:hAnsi="宋体"/>
          <w:b/>
          <w:szCs w:val="21"/>
        </w:rPr>
      </w:pPr>
      <w:r>
        <w:rPr>
          <w:rFonts w:hint="eastAsia" w:ascii="仿宋_GB2312" w:hAnsi="仿宋_GB2312" w:eastAsia="仿宋_GB2312" w:cs="仿宋_GB2312"/>
          <w:szCs w:val="21"/>
        </w:rPr>
        <w:t>2</w:t>
      </w:r>
      <w:r>
        <w:rPr>
          <w:rFonts w:ascii="仿宋_GB2312" w:hAnsi="仿宋_GB2312" w:eastAsia="仿宋_GB2312" w:cs="仿宋_GB2312"/>
          <w:szCs w:val="21"/>
        </w:rPr>
        <w:t>.</w:t>
      </w:r>
      <w:r>
        <w:rPr>
          <w:rFonts w:hint="eastAsia" w:ascii="仿宋_GB2312" w:hAnsi="仿宋_GB2312" w:eastAsia="仿宋_GB2312" w:cs="仿宋_GB2312"/>
          <w:szCs w:val="21"/>
        </w:rPr>
        <w:t>供应商为其他组织或自然人时，本竞争性磋商文件规定的法定代表人指负责人或自然人。本竞争性磋商文件所称负责人是指参加竞标的其他组织营业执照上的负责人，本竞争性磋商文件所称自然人指参与竞标的自然人本人。</w:t>
      </w: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法定代表人授权委托书（非联合体竞标格式）</w:t>
      </w: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（采购人名称）</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u w:val="single"/>
        </w:rPr>
        <w:t xml:space="preserve">  （姓名）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xml:space="preserve">  （供应商名称）  </w:t>
      </w:r>
      <w:r>
        <w:rPr>
          <w:rFonts w:hint="eastAsia" w:ascii="仿宋_GB2312" w:hAnsi="仿宋_GB2312" w:eastAsia="仿宋_GB2312" w:cs="仿宋_GB2312"/>
          <w:sz w:val="32"/>
          <w:szCs w:val="32"/>
        </w:rPr>
        <w:t>的（</w:t>
      </w:r>
      <w:r>
        <w:rPr>
          <w:rFonts w:hint="eastAsia" w:ascii="仿宋_GB2312" w:hAnsi="仿宋_GB2312" w:eastAsia="仿宋_GB2312" w:cs="仿宋_GB2312"/>
          <w:sz w:val="52"/>
          <w:szCs w:val="52"/>
          <w:u w:val="single"/>
        </w:rPr>
        <w:t>□</w:t>
      </w:r>
      <w:r>
        <w:rPr>
          <w:rFonts w:hint="eastAsia" w:ascii="仿宋_GB2312" w:hAnsi="仿宋_GB2312" w:eastAsia="仿宋_GB2312" w:cs="仿宋_GB2312"/>
          <w:sz w:val="32"/>
          <w:szCs w:val="32"/>
          <w:u w:val="single"/>
        </w:rPr>
        <w:t>法定代表人/</w:t>
      </w:r>
      <w:r>
        <w:rPr>
          <w:rFonts w:hint="eastAsia" w:ascii="仿宋_GB2312" w:hAnsi="仿宋_GB2312" w:eastAsia="仿宋_GB2312" w:cs="仿宋_GB2312"/>
          <w:sz w:val="52"/>
          <w:szCs w:val="52"/>
          <w:u w:val="single"/>
        </w:rPr>
        <w:t>□</w:t>
      </w:r>
      <w:r>
        <w:rPr>
          <w:rFonts w:hint="eastAsia" w:ascii="仿宋_GB2312" w:hAnsi="仿宋_GB2312" w:eastAsia="仿宋_GB2312" w:cs="仿宋_GB2312"/>
          <w:sz w:val="32"/>
          <w:szCs w:val="32"/>
          <w:u w:val="single"/>
        </w:rPr>
        <w:t>负责人/</w:t>
      </w:r>
      <w:r>
        <w:rPr>
          <w:rFonts w:hint="eastAsia" w:ascii="仿宋_GB2312" w:hAnsi="仿宋_GB2312" w:eastAsia="仿宋_GB2312" w:cs="仿宋_GB2312"/>
          <w:sz w:val="52"/>
          <w:szCs w:val="52"/>
          <w:u w:val="single"/>
        </w:rPr>
        <w:t>□</w:t>
      </w:r>
      <w:r>
        <w:rPr>
          <w:rFonts w:hint="eastAsia" w:ascii="仿宋_GB2312" w:hAnsi="仿宋_GB2312" w:eastAsia="仿宋_GB2312" w:cs="仿宋_GB2312"/>
          <w:sz w:val="32"/>
          <w:szCs w:val="32"/>
          <w:u w:val="single"/>
        </w:rPr>
        <w:t>自然人本人</w:t>
      </w:r>
      <w:r>
        <w:rPr>
          <w:rFonts w:hint="eastAsia" w:ascii="仿宋_GB2312" w:hAnsi="仿宋_GB2312" w:eastAsia="仿宋_GB2312" w:cs="仿宋_GB2312"/>
          <w:sz w:val="32"/>
          <w:szCs w:val="32"/>
        </w:rPr>
        <w:t>），现授权</w:t>
      </w:r>
      <w:r>
        <w:rPr>
          <w:rFonts w:hint="eastAsia" w:ascii="仿宋_GB2312" w:hAnsi="仿宋_GB2312" w:eastAsia="仿宋_GB2312" w:cs="仿宋_GB2312"/>
          <w:sz w:val="32"/>
          <w:szCs w:val="32"/>
          <w:u w:val="single"/>
        </w:rPr>
        <w:t xml:space="preserve"> （姓名） </w:t>
      </w:r>
      <w:r>
        <w:rPr>
          <w:rFonts w:hint="eastAsia" w:ascii="仿宋_GB2312" w:hAnsi="仿宋_GB2312" w:eastAsia="仿宋_GB2312" w:cs="仿宋_GB2312"/>
          <w:sz w:val="32"/>
          <w:szCs w:val="32"/>
        </w:rPr>
        <w:t>以我方的名义参加项目的竞标活动，并代表我方全权办理针对上述项目的所有采购程序和环节的具体事务和签署相关文件。</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我方对委托代理人的签字事项负全部责任。</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本授权书自签署之日起生效，在撤销授权的书面通知以前，本授权书一直有效。委托代理人在授权书有效期内签署的所有文件不因授权的撤销而失效。</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委托代理人无转委托权，特此委托。</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附：法定代表人身份证明书及委托代理人有效身份证正反面复印件</w:t>
      </w: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委托代理人（签字）：         法定代表人（签字）：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委托代理人身份证号码：                              </w:t>
      </w: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供应商（盖公章）：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注：1.法定代表人和委托代理人必须在授权委托书上亲笔签名，不得使用印章、签名章或其他电子制版签名代替；</w:t>
      </w:r>
    </w:p>
    <w:p>
      <w:pPr>
        <w:spacing w:line="360" w:lineRule="exact"/>
        <w:ind w:firstLine="420" w:firstLineChars="200"/>
        <w:jc w:val="left"/>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供应商为其他组织或自然人时，本竞争性磋商文件规定的法定代表人指负责人或自然人。本竞争性磋商文件所称负责人是指参加竞标的其他组织营业执照上的负责人，本竞争性磋商文件所称自然人指参与竞标的自然人本人。</w:t>
      </w:r>
    </w:p>
    <w:p>
      <w:pPr>
        <w:spacing w:line="500" w:lineRule="exact"/>
        <w:jc w:val="center"/>
        <w:rPr>
          <w:rFonts w:ascii="方正小标宋简体" w:hAnsi="方正小标宋简体" w:eastAsia="方正小标宋简体" w:cs="方正小标宋简体"/>
          <w:bCs/>
          <w:sz w:val="44"/>
          <w:szCs w:val="44"/>
        </w:rPr>
      </w:pPr>
      <w:r>
        <w:rPr>
          <w:rFonts w:ascii="仿宋_GB2312" w:hAnsi="仿宋_GB2312" w:eastAsia="仿宋_GB2312" w:cs="仿宋_GB2312"/>
          <w:szCs w:val="21"/>
        </w:rPr>
        <w:br w:type="page"/>
      </w:r>
      <w:r>
        <w:rPr>
          <w:rFonts w:hint="eastAsia" w:ascii="方正小标宋简体" w:hAnsi="方正小标宋简体" w:eastAsia="方正小标宋简体" w:cs="方正小标宋简体"/>
          <w:bCs/>
          <w:sz w:val="44"/>
          <w:szCs w:val="44"/>
        </w:rPr>
        <w:t>商务条款偏离表格式</w:t>
      </w:r>
    </w:p>
    <w:p>
      <w:pPr>
        <w:spacing w:line="520" w:lineRule="exact"/>
        <w:rPr>
          <w:rFonts w:hint="eastAsia"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采购项目名称：</w:t>
      </w:r>
    </w:p>
    <w:p>
      <w:pPr>
        <w:snapToGrid w:val="0"/>
        <w:spacing w:before="50" w:line="520" w:lineRule="exact"/>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分标号：</w:t>
      </w:r>
    </w:p>
    <w:tbl>
      <w:tblPr>
        <w:tblStyle w:val="51"/>
        <w:tblW w:w="8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2"/>
        <w:gridCol w:w="3274"/>
        <w:gridCol w:w="1067"/>
        <w:gridCol w:w="30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4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w:t>
            </w:r>
          </w:p>
        </w:tc>
        <w:tc>
          <w:tcPr>
            <w:tcW w:w="327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竞争性磋商文件商务条款要求</w:t>
            </w:r>
          </w:p>
        </w:tc>
        <w:tc>
          <w:tcPr>
            <w:tcW w:w="106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是否偏离</w:t>
            </w:r>
          </w:p>
        </w:tc>
        <w:tc>
          <w:tcPr>
            <w:tcW w:w="309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sz w:val="18"/>
                <w:szCs w:val="18"/>
              </w:rPr>
            </w:pPr>
          </w:p>
        </w:tc>
        <w:tc>
          <w:tcPr>
            <w:tcW w:w="3274" w:type="dxa"/>
            <w:tcBorders>
              <w:top w:val="single" w:color="auto" w:sz="4" w:space="0"/>
              <w:left w:val="single" w:color="auto" w:sz="4" w:space="0"/>
              <w:bottom w:val="single" w:color="auto" w:sz="4" w:space="0"/>
              <w:right w:val="single" w:color="auto" w:sz="4" w:space="0"/>
            </w:tcBorders>
            <w:vAlign w:val="center"/>
          </w:tcPr>
          <w:p>
            <w:pPr>
              <w:snapToGrid w:val="0"/>
              <w:ind w:firstLine="351" w:firstLineChars="194"/>
              <w:jc w:val="left"/>
              <w:rPr>
                <w:rFonts w:ascii="宋体" w:hAnsi="宋体"/>
                <w:b/>
                <w:sz w:val="18"/>
                <w:szCs w:val="18"/>
              </w:rPr>
            </w:pPr>
          </w:p>
        </w:tc>
        <w:tc>
          <w:tcPr>
            <w:tcW w:w="106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仿宋_GB2312" w:eastAsia="仿宋_GB2312" w:cs="仿宋_GB2312"/>
                <w:sz w:val="32"/>
                <w:szCs w:val="32"/>
              </w:rPr>
            </w:pPr>
          </w:p>
        </w:tc>
        <w:tc>
          <w:tcPr>
            <w:tcW w:w="309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仿宋_GB2312"/>
                <w:sz w:val="18"/>
                <w:szCs w:val="18"/>
              </w:rPr>
            </w:pPr>
          </w:p>
        </w:tc>
        <w:tc>
          <w:tcPr>
            <w:tcW w:w="327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仿宋_GB2312"/>
                <w:b/>
                <w:bCs/>
                <w:sz w:val="18"/>
                <w:szCs w:val="18"/>
              </w:rPr>
            </w:pPr>
          </w:p>
        </w:tc>
        <w:tc>
          <w:tcPr>
            <w:tcW w:w="106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仿宋_GB2312" w:hAnsi="仿宋_GB2312" w:eastAsia="仿宋_GB2312" w:cs="仿宋_GB2312"/>
                <w:sz w:val="32"/>
                <w:szCs w:val="32"/>
              </w:rPr>
            </w:pPr>
          </w:p>
        </w:tc>
        <w:tc>
          <w:tcPr>
            <w:tcW w:w="309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ind w:left="43"/>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sz w:val="18"/>
                <w:szCs w:val="18"/>
              </w:rPr>
            </w:pPr>
          </w:p>
        </w:tc>
        <w:tc>
          <w:tcPr>
            <w:tcW w:w="3274" w:type="dxa"/>
            <w:tcBorders>
              <w:top w:val="single" w:color="auto" w:sz="4" w:space="0"/>
              <w:left w:val="single" w:color="auto" w:sz="4" w:space="0"/>
              <w:bottom w:val="single" w:color="auto" w:sz="4" w:space="0"/>
              <w:right w:val="single" w:color="auto" w:sz="4" w:space="0"/>
            </w:tcBorders>
          </w:tcPr>
          <w:p>
            <w:pPr>
              <w:snapToGrid w:val="0"/>
              <w:ind w:firstLine="351" w:firstLineChars="194"/>
              <w:jc w:val="left"/>
              <w:rPr>
                <w:rFonts w:ascii="宋体" w:hAnsi="宋体"/>
                <w:b/>
                <w:sz w:val="18"/>
                <w:szCs w:val="18"/>
              </w:rPr>
            </w:pPr>
          </w:p>
        </w:tc>
        <w:tc>
          <w:tcPr>
            <w:tcW w:w="106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仿宋_GB2312" w:eastAsia="仿宋_GB2312" w:cs="仿宋_GB2312"/>
                <w:sz w:val="32"/>
                <w:szCs w:val="32"/>
              </w:rPr>
            </w:pPr>
          </w:p>
        </w:tc>
        <w:tc>
          <w:tcPr>
            <w:tcW w:w="309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242" w:type="dxa"/>
            <w:tcBorders>
              <w:top w:val="single" w:color="auto" w:sz="4" w:space="0"/>
              <w:left w:val="single" w:color="auto" w:sz="4" w:space="0"/>
              <w:bottom w:val="single" w:color="auto" w:sz="4" w:space="0"/>
              <w:right w:val="single" w:color="auto" w:sz="4" w:space="0"/>
            </w:tcBorders>
            <w:vAlign w:val="center"/>
          </w:tcPr>
          <w:p>
            <w:pPr>
              <w:ind w:firstLine="108" w:firstLineChars="60"/>
              <w:jc w:val="left"/>
              <w:rPr>
                <w:rFonts w:ascii="宋体" w:hAnsi="宋体" w:cs="Arial"/>
                <w:sz w:val="18"/>
                <w:szCs w:val="18"/>
              </w:rPr>
            </w:pPr>
          </w:p>
        </w:tc>
        <w:tc>
          <w:tcPr>
            <w:tcW w:w="3274" w:type="dxa"/>
            <w:tcBorders>
              <w:top w:val="single" w:color="auto" w:sz="4" w:space="0"/>
              <w:left w:val="single" w:color="auto" w:sz="4" w:space="0"/>
              <w:bottom w:val="single" w:color="auto" w:sz="4" w:space="0"/>
              <w:right w:val="single" w:color="auto" w:sz="4" w:space="0"/>
            </w:tcBorders>
            <w:vAlign w:val="center"/>
          </w:tcPr>
          <w:p>
            <w:pPr>
              <w:ind w:firstLine="394" w:firstLineChars="218"/>
              <w:jc w:val="left"/>
              <w:rPr>
                <w:rFonts w:ascii="宋体" w:hAnsi="宋体"/>
                <w:b/>
                <w:sz w:val="18"/>
                <w:szCs w:val="18"/>
              </w:rPr>
            </w:pPr>
          </w:p>
        </w:tc>
        <w:tc>
          <w:tcPr>
            <w:tcW w:w="106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仿宋_GB2312" w:eastAsia="仿宋_GB2312" w:cs="仿宋_GB2312"/>
                <w:sz w:val="32"/>
                <w:szCs w:val="32"/>
              </w:rPr>
            </w:pPr>
          </w:p>
        </w:tc>
        <w:tc>
          <w:tcPr>
            <w:tcW w:w="309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
                <w:sz w:val="18"/>
                <w:szCs w:val="18"/>
              </w:rPr>
            </w:pPr>
          </w:p>
        </w:tc>
        <w:tc>
          <w:tcPr>
            <w:tcW w:w="3274" w:type="dxa"/>
            <w:tcBorders>
              <w:top w:val="single" w:color="auto" w:sz="4" w:space="0"/>
              <w:left w:val="single" w:color="auto" w:sz="4" w:space="0"/>
              <w:bottom w:val="single" w:color="auto" w:sz="4" w:space="0"/>
              <w:right w:val="single" w:color="auto" w:sz="4" w:space="0"/>
            </w:tcBorders>
            <w:vAlign w:val="center"/>
          </w:tcPr>
          <w:p>
            <w:pPr>
              <w:ind w:firstLine="399" w:firstLineChars="222"/>
              <w:jc w:val="left"/>
              <w:rPr>
                <w:rFonts w:ascii="宋体" w:hAnsi="宋体"/>
                <w:sz w:val="18"/>
                <w:szCs w:val="18"/>
              </w:rPr>
            </w:pPr>
          </w:p>
        </w:tc>
        <w:tc>
          <w:tcPr>
            <w:tcW w:w="106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仿宋_GB2312" w:eastAsia="仿宋_GB2312" w:cs="仿宋_GB2312"/>
                <w:sz w:val="32"/>
                <w:szCs w:val="32"/>
              </w:rPr>
            </w:pPr>
          </w:p>
        </w:tc>
        <w:tc>
          <w:tcPr>
            <w:tcW w:w="309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b/>
                <w:sz w:val="18"/>
                <w:szCs w:val="18"/>
              </w:rPr>
            </w:pPr>
          </w:p>
        </w:tc>
        <w:tc>
          <w:tcPr>
            <w:tcW w:w="3274" w:type="dxa"/>
            <w:tcBorders>
              <w:top w:val="single" w:color="auto" w:sz="4" w:space="0"/>
              <w:left w:val="single" w:color="auto" w:sz="4" w:space="0"/>
              <w:bottom w:val="single" w:color="auto" w:sz="4" w:space="0"/>
              <w:right w:val="single" w:color="auto" w:sz="4" w:space="0"/>
            </w:tcBorders>
          </w:tcPr>
          <w:p>
            <w:pPr>
              <w:tabs>
                <w:tab w:val="left" w:pos="425"/>
              </w:tabs>
              <w:ind w:firstLine="361" w:firstLineChars="200"/>
              <w:jc w:val="left"/>
              <w:rPr>
                <w:rFonts w:ascii="宋体" w:hAnsi="宋体"/>
                <w:b/>
                <w:sz w:val="18"/>
                <w:szCs w:val="18"/>
              </w:rPr>
            </w:pPr>
          </w:p>
        </w:tc>
        <w:tc>
          <w:tcPr>
            <w:tcW w:w="106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仿宋_GB2312" w:eastAsia="仿宋_GB2312" w:cs="仿宋_GB2312"/>
                <w:sz w:val="32"/>
                <w:szCs w:val="32"/>
              </w:rPr>
            </w:pPr>
          </w:p>
        </w:tc>
        <w:tc>
          <w:tcPr>
            <w:tcW w:w="309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sz w:val="18"/>
                <w:szCs w:val="18"/>
              </w:rPr>
            </w:pPr>
          </w:p>
        </w:tc>
        <w:tc>
          <w:tcPr>
            <w:tcW w:w="3274" w:type="dxa"/>
            <w:tcBorders>
              <w:top w:val="single" w:color="auto" w:sz="4" w:space="0"/>
              <w:left w:val="single" w:color="auto" w:sz="4" w:space="0"/>
              <w:bottom w:val="single" w:color="auto" w:sz="4" w:space="0"/>
              <w:right w:val="single" w:color="auto" w:sz="4" w:space="0"/>
            </w:tcBorders>
          </w:tcPr>
          <w:p>
            <w:pPr>
              <w:ind w:firstLine="389" w:firstLineChars="215"/>
              <w:jc w:val="left"/>
              <w:rPr>
                <w:rFonts w:ascii="宋体" w:hAnsi="宋体"/>
                <w:b/>
                <w:sz w:val="18"/>
                <w:szCs w:val="18"/>
              </w:rPr>
            </w:pPr>
          </w:p>
        </w:tc>
        <w:tc>
          <w:tcPr>
            <w:tcW w:w="106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仿宋_GB2312" w:eastAsia="仿宋_GB2312" w:cs="仿宋_GB2312"/>
                <w:sz w:val="32"/>
                <w:szCs w:val="32"/>
              </w:rPr>
            </w:pPr>
          </w:p>
        </w:tc>
        <w:tc>
          <w:tcPr>
            <w:tcW w:w="309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仿宋_GB2312" w:eastAsia="仿宋_GB2312" w:cs="仿宋_GB2312"/>
                <w:sz w:val="32"/>
                <w:szCs w:val="32"/>
              </w:rPr>
            </w:pPr>
          </w:p>
        </w:tc>
      </w:tr>
    </w:tbl>
    <w:p>
      <w:pPr>
        <w:snapToGrid w:val="0"/>
        <w:spacing w:before="50" w:after="50" w:line="520" w:lineRule="exact"/>
        <w:ind w:right="-817" w:rightChars="-389"/>
        <w:rPr>
          <w:rFonts w:ascii="仿宋_GB2312" w:hAnsi="仿宋_GB2312" w:eastAsia="仿宋_GB2312" w:cs="仿宋_GB2312"/>
          <w:sz w:val="32"/>
          <w:szCs w:val="32"/>
        </w:rPr>
      </w:pPr>
    </w:p>
    <w:p>
      <w:pPr>
        <w:snapToGrid w:val="0"/>
        <w:spacing w:before="50" w:after="50" w:line="520" w:lineRule="exact"/>
        <w:ind w:right="-817" w:rightChars="-389"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法定代表人或委托代理人（签字）：                    </w:t>
      </w:r>
    </w:p>
    <w:p>
      <w:pPr>
        <w:snapToGrid w:val="0"/>
        <w:spacing w:before="50" w:after="50" w:line="520" w:lineRule="exact"/>
        <w:ind w:right="-817" w:rightChars="-389"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供应商（盖公章）：      </w:t>
      </w:r>
    </w:p>
    <w:p>
      <w:pPr>
        <w:snapToGrid w:val="0"/>
        <w:spacing w:before="50" w:after="50" w:line="520" w:lineRule="exact"/>
        <w:ind w:right="-817" w:rightChars="-389" w:firstLine="5440" w:firstLineChars="1700"/>
        <w:rPr>
          <w:rFonts w:ascii="宋体" w:hAnsi="宋体"/>
          <w:szCs w:val="21"/>
          <w:u w:val="single"/>
        </w:rPr>
      </w:pPr>
      <w:r>
        <w:rPr>
          <w:rFonts w:hint="eastAsia" w:ascii="仿宋_GB2312" w:hAnsi="仿宋_GB2312" w:eastAsia="仿宋_GB2312" w:cs="仿宋_GB2312"/>
          <w:sz w:val="32"/>
          <w:szCs w:val="32"/>
        </w:rPr>
        <w:t>日期：   年   月   日</w:t>
      </w:r>
    </w:p>
    <w:p>
      <w:pPr>
        <w:adjustRightInd w:val="0"/>
        <w:snapToGrid w:val="0"/>
        <w:spacing w:line="300" w:lineRule="auto"/>
        <w:rPr>
          <w:rFonts w:ascii="宋体" w:hAnsi="宋体"/>
          <w:szCs w:val="21"/>
          <w:u w:val="single"/>
        </w:rPr>
      </w:pPr>
    </w:p>
    <w:p>
      <w:pPr>
        <w:adjustRightInd w:val="0"/>
        <w:snapToGrid w:val="0"/>
        <w:spacing w:line="300" w:lineRule="auto"/>
        <w:jc w:val="center"/>
        <w:rPr>
          <w:rFonts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br w:type="page"/>
      </w:r>
      <w:r>
        <w:rPr>
          <w:rFonts w:hint="eastAsia" w:ascii="方正小标宋简体" w:hAnsi="方正小标宋简体" w:eastAsia="方正小标宋简体" w:cs="方正小标宋简体"/>
          <w:bCs/>
          <w:sz w:val="44"/>
          <w:szCs w:val="44"/>
        </w:rPr>
        <w:t>技术需求偏离表</w:t>
      </w: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采购项目名称：</w:t>
      </w:r>
    </w:p>
    <w:p>
      <w:pPr>
        <w:spacing w:line="52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分标号：</w:t>
      </w:r>
    </w:p>
    <w:tbl>
      <w:tblPr>
        <w:tblStyle w:val="51"/>
        <w:tblW w:w="879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9"/>
        <w:gridCol w:w="800"/>
        <w:gridCol w:w="3658"/>
        <w:gridCol w:w="2169"/>
        <w:gridCol w:w="808"/>
        <w:gridCol w:w="68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69" w:type="dxa"/>
            <w:vAlign w:val="center"/>
          </w:tcPr>
          <w:p>
            <w:pPr>
              <w:spacing w:line="240" w:lineRule="atLeast"/>
              <w:jc w:val="center"/>
              <w:rPr>
                <w:rFonts w:ascii="仿宋_GB2312" w:hAnsi="仿宋_GB2312" w:eastAsia="仿宋_GB2312" w:cs="仿宋_GB2312"/>
                <w:szCs w:val="21"/>
              </w:rPr>
            </w:pPr>
            <w:bookmarkStart w:id="32" w:name="_Toc373333689"/>
            <w:bookmarkStart w:id="33" w:name="_Toc301781611"/>
            <w:bookmarkStart w:id="34" w:name="_Toc173211900"/>
            <w:bookmarkStart w:id="35" w:name="_Toc295404981"/>
            <w:bookmarkStart w:id="36" w:name="_Toc173066401"/>
            <w:bookmarkStart w:id="37" w:name="_Toc383699906"/>
            <w:bookmarkStart w:id="38" w:name="_Toc254970588"/>
            <w:bookmarkStart w:id="39" w:name="_Toc254970729"/>
            <w:bookmarkStart w:id="40" w:name="_Toc297193185"/>
            <w:r>
              <w:rPr>
                <w:rFonts w:hint="eastAsia" w:ascii="仿宋_GB2312" w:hAnsi="仿宋_GB2312" w:eastAsia="仿宋_GB2312" w:cs="仿宋_GB2312"/>
                <w:szCs w:val="21"/>
              </w:rPr>
              <w:t>序号</w:t>
            </w:r>
            <w:bookmarkEnd w:id="32"/>
            <w:bookmarkEnd w:id="33"/>
            <w:bookmarkEnd w:id="34"/>
            <w:bookmarkEnd w:id="35"/>
            <w:bookmarkEnd w:id="36"/>
            <w:bookmarkEnd w:id="37"/>
            <w:bookmarkEnd w:id="38"/>
            <w:bookmarkEnd w:id="39"/>
            <w:bookmarkEnd w:id="40"/>
          </w:p>
        </w:tc>
        <w:tc>
          <w:tcPr>
            <w:tcW w:w="800" w:type="dxa"/>
            <w:tcBorders>
              <w:right w:val="single" w:color="auto" w:sz="4" w:space="0"/>
            </w:tcBorders>
            <w:vAlign w:val="center"/>
          </w:tcPr>
          <w:p>
            <w:pPr>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名称</w:t>
            </w:r>
          </w:p>
        </w:tc>
        <w:tc>
          <w:tcPr>
            <w:tcW w:w="3658" w:type="dxa"/>
            <w:tcBorders>
              <w:left w:val="single" w:color="auto" w:sz="4" w:space="0"/>
            </w:tcBorders>
            <w:vAlign w:val="center"/>
          </w:tcPr>
          <w:p>
            <w:pPr>
              <w:spacing w:line="240" w:lineRule="atLeast"/>
              <w:jc w:val="center"/>
              <w:rPr>
                <w:rFonts w:ascii="仿宋_GB2312" w:hAnsi="仿宋_GB2312" w:eastAsia="仿宋_GB2312" w:cs="仿宋_GB2312"/>
                <w:szCs w:val="21"/>
              </w:rPr>
            </w:pPr>
            <w:bookmarkStart w:id="41" w:name="_Toc254970589"/>
            <w:bookmarkStart w:id="42" w:name="_Toc295404982"/>
            <w:bookmarkStart w:id="43" w:name="_Toc297193186"/>
            <w:bookmarkStart w:id="44" w:name="_Toc254970730"/>
            <w:bookmarkStart w:id="45" w:name="_Toc173211901"/>
            <w:bookmarkStart w:id="46" w:name="_Toc383699907"/>
            <w:bookmarkStart w:id="47" w:name="_Toc301781612"/>
            <w:bookmarkStart w:id="48" w:name="_Toc373333690"/>
            <w:bookmarkStart w:id="49" w:name="_Toc173066402"/>
            <w:r>
              <w:rPr>
                <w:rFonts w:hint="eastAsia" w:ascii="仿宋_GB2312" w:hAnsi="仿宋_GB2312" w:eastAsia="仿宋_GB2312" w:cs="仿宋_GB2312"/>
                <w:szCs w:val="21"/>
              </w:rPr>
              <w:t>竞争性磋商文件</w:t>
            </w:r>
            <w:bookmarkEnd w:id="41"/>
            <w:bookmarkEnd w:id="42"/>
            <w:bookmarkEnd w:id="43"/>
            <w:bookmarkEnd w:id="44"/>
            <w:bookmarkEnd w:id="45"/>
            <w:bookmarkEnd w:id="46"/>
            <w:bookmarkEnd w:id="47"/>
            <w:bookmarkEnd w:id="48"/>
            <w:bookmarkEnd w:id="49"/>
            <w:r>
              <w:rPr>
                <w:rFonts w:hint="eastAsia" w:ascii="仿宋_GB2312" w:hAnsi="仿宋_GB2312" w:eastAsia="仿宋_GB2312" w:cs="仿宋_GB2312"/>
                <w:szCs w:val="21"/>
              </w:rPr>
              <w:t>技术需求</w:t>
            </w:r>
          </w:p>
        </w:tc>
        <w:tc>
          <w:tcPr>
            <w:tcW w:w="2169" w:type="dxa"/>
            <w:vAlign w:val="center"/>
          </w:tcPr>
          <w:p>
            <w:pPr>
              <w:spacing w:line="240" w:lineRule="atLeast"/>
              <w:jc w:val="center"/>
              <w:rPr>
                <w:rFonts w:ascii="仿宋_GB2312" w:hAnsi="仿宋_GB2312" w:eastAsia="仿宋_GB2312" w:cs="仿宋_GB2312"/>
                <w:szCs w:val="21"/>
              </w:rPr>
            </w:pPr>
            <w:bookmarkStart w:id="50" w:name="_Toc297193187"/>
            <w:bookmarkStart w:id="51" w:name="_Toc295404983"/>
            <w:bookmarkStart w:id="52" w:name="_Toc383699908"/>
            <w:bookmarkStart w:id="53" w:name="_Toc254970731"/>
            <w:bookmarkStart w:id="54" w:name="_Toc173211902"/>
            <w:bookmarkStart w:id="55" w:name="_Toc301781613"/>
            <w:bookmarkStart w:id="56" w:name="_Toc254970590"/>
            <w:bookmarkStart w:id="57" w:name="_Toc173066403"/>
            <w:bookmarkStart w:id="58" w:name="_Toc373333691"/>
            <w:r>
              <w:rPr>
                <w:rFonts w:hint="eastAsia" w:ascii="仿宋_GB2312" w:hAnsi="仿宋_GB2312" w:eastAsia="仿宋_GB2312" w:cs="仿宋_GB2312"/>
                <w:szCs w:val="21"/>
              </w:rPr>
              <w:t>响应文件具体响应</w:t>
            </w:r>
            <w:bookmarkEnd w:id="50"/>
            <w:bookmarkEnd w:id="51"/>
            <w:bookmarkEnd w:id="52"/>
            <w:bookmarkEnd w:id="53"/>
            <w:bookmarkEnd w:id="54"/>
            <w:bookmarkEnd w:id="55"/>
            <w:bookmarkEnd w:id="56"/>
            <w:bookmarkEnd w:id="57"/>
            <w:bookmarkEnd w:id="58"/>
          </w:p>
        </w:tc>
        <w:tc>
          <w:tcPr>
            <w:tcW w:w="808" w:type="dxa"/>
            <w:vAlign w:val="center"/>
          </w:tcPr>
          <w:p>
            <w:pPr>
              <w:spacing w:line="240" w:lineRule="atLeast"/>
              <w:jc w:val="center"/>
              <w:rPr>
                <w:rFonts w:ascii="仿宋_GB2312" w:hAnsi="仿宋_GB2312" w:eastAsia="仿宋_GB2312" w:cs="仿宋_GB2312"/>
                <w:szCs w:val="21"/>
              </w:rPr>
            </w:pPr>
            <w:bookmarkStart w:id="59" w:name="_Toc295404984"/>
            <w:bookmarkStart w:id="60" w:name="_Toc301781614"/>
            <w:bookmarkStart w:id="61" w:name="_Toc254970732"/>
            <w:bookmarkStart w:id="62" w:name="_Toc297193188"/>
            <w:bookmarkStart w:id="63" w:name="_Toc383699909"/>
            <w:bookmarkStart w:id="64" w:name="_Toc373333692"/>
            <w:bookmarkStart w:id="65" w:name="_Toc173066404"/>
            <w:bookmarkStart w:id="66" w:name="_Toc254970591"/>
            <w:bookmarkStart w:id="67" w:name="_Toc173211903"/>
            <w:r>
              <w:rPr>
                <w:rFonts w:hint="eastAsia" w:ascii="仿宋_GB2312" w:hAnsi="仿宋_GB2312" w:eastAsia="仿宋_GB2312" w:cs="仿宋_GB2312"/>
                <w:szCs w:val="21"/>
              </w:rPr>
              <w:t>响应/偏离</w:t>
            </w:r>
            <w:bookmarkEnd w:id="59"/>
            <w:bookmarkEnd w:id="60"/>
            <w:bookmarkEnd w:id="61"/>
            <w:bookmarkEnd w:id="62"/>
            <w:bookmarkEnd w:id="63"/>
            <w:bookmarkEnd w:id="64"/>
            <w:bookmarkEnd w:id="65"/>
            <w:bookmarkEnd w:id="66"/>
            <w:bookmarkEnd w:id="67"/>
          </w:p>
        </w:tc>
        <w:tc>
          <w:tcPr>
            <w:tcW w:w="687" w:type="dxa"/>
            <w:vAlign w:val="center"/>
          </w:tcPr>
          <w:p>
            <w:pPr>
              <w:spacing w:line="240" w:lineRule="atLeast"/>
              <w:jc w:val="center"/>
              <w:rPr>
                <w:rFonts w:ascii="仿宋_GB2312" w:hAnsi="仿宋_GB2312" w:eastAsia="仿宋_GB2312" w:cs="仿宋_GB2312"/>
                <w:szCs w:val="21"/>
              </w:rPr>
            </w:pPr>
            <w:bookmarkStart w:id="68" w:name="_Toc173211904"/>
            <w:bookmarkStart w:id="69" w:name="_Toc254970592"/>
            <w:bookmarkStart w:id="70" w:name="_Toc297193189"/>
            <w:bookmarkStart w:id="71" w:name="_Toc383699910"/>
            <w:bookmarkStart w:id="72" w:name="_Toc173066405"/>
            <w:bookmarkStart w:id="73" w:name="_Toc295404985"/>
            <w:bookmarkStart w:id="74" w:name="_Toc301781615"/>
            <w:bookmarkStart w:id="75" w:name="_Toc254970733"/>
            <w:bookmarkStart w:id="76" w:name="_Toc373333693"/>
            <w:r>
              <w:rPr>
                <w:rFonts w:hint="eastAsia" w:ascii="仿宋_GB2312" w:hAnsi="仿宋_GB2312" w:eastAsia="仿宋_GB2312" w:cs="仿宋_GB2312"/>
                <w:szCs w:val="21"/>
              </w:rPr>
              <w:t>说明</w:t>
            </w:r>
            <w:bookmarkEnd w:id="68"/>
            <w:bookmarkEnd w:id="69"/>
            <w:bookmarkEnd w:id="70"/>
            <w:bookmarkEnd w:id="71"/>
            <w:bookmarkEnd w:id="72"/>
            <w:bookmarkEnd w:id="73"/>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669" w:type="dxa"/>
            <w:vAlign w:val="center"/>
          </w:tcPr>
          <w:p>
            <w:pPr>
              <w:spacing w:line="240" w:lineRule="atLeast"/>
              <w:jc w:val="center"/>
              <w:rPr>
                <w:rFonts w:ascii="仿宋_GB2312" w:hAnsi="仿宋_GB2312" w:eastAsia="仿宋_GB2312" w:cs="仿宋_GB2312"/>
                <w:szCs w:val="21"/>
              </w:rPr>
            </w:pPr>
            <w:bookmarkStart w:id="77" w:name="_Toc173066406"/>
            <w:bookmarkStart w:id="78" w:name="_Toc301781616"/>
            <w:bookmarkStart w:id="79" w:name="_Toc373333694"/>
            <w:bookmarkStart w:id="80" w:name="_Toc383699911"/>
            <w:bookmarkStart w:id="81" w:name="_Toc254970734"/>
            <w:bookmarkStart w:id="82" w:name="_Toc173211905"/>
            <w:bookmarkStart w:id="83" w:name="_Toc254970593"/>
            <w:bookmarkStart w:id="84" w:name="_Toc295404986"/>
            <w:bookmarkStart w:id="85" w:name="_Toc297193190"/>
            <w:r>
              <w:rPr>
                <w:rFonts w:hint="eastAsia" w:ascii="仿宋_GB2312" w:hAnsi="仿宋_GB2312" w:eastAsia="仿宋_GB2312" w:cs="仿宋_GB2312"/>
                <w:szCs w:val="21"/>
              </w:rPr>
              <w:t>1</w:t>
            </w:r>
            <w:bookmarkEnd w:id="77"/>
            <w:bookmarkEnd w:id="78"/>
            <w:bookmarkEnd w:id="79"/>
            <w:bookmarkEnd w:id="80"/>
            <w:bookmarkEnd w:id="81"/>
            <w:bookmarkEnd w:id="82"/>
            <w:bookmarkEnd w:id="83"/>
            <w:bookmarkEnd w:id="84"/>
            <w:bookmarkEnd w:id="85"/>
          </w:p>
        </w:tc>
        <w:tc>
          <w:tcPr>
            <w:tcW w:w="800" w:type="dxa"/>
            <w:tcBorders>
              <w:right w:val="single" w:color="auto" w:sz="4" w:space="0"/>
            </w:tcBorders>
            <w:vAlign w:val="center"/>
          </w:tcPr>
          <w:p>
            <w:pPr>
              <w:spacing w:line="240" w:lineRule="atLeast"/>
              <w:jc w:val="center"/>
              <w:rPr>
                <w:rFonts w:ascii="仿宋_GB2312" w:hAnsi="仿宋_GB2312" w:eastAsia="仿宋_GB2312" w:cs="仿宋_GB2312"/>
                <w:szCs w:val="21"/>
              </w:rPr>
            </w:pPr>
          </w:p>
        </w:tc>
        <w:tc>
          <w:tcPr>
            <w:tcW w:w="3658" w:type="dxa"/>
            <w:tcBorders>
              <w:left w:val="single" w:color="auto" w:sz="4" w:space="0"/>
            </w:tcBorders>
            <w:vAlign w:val="center"/>
          </w:tcPr>
          <w:p>
            <w:pPr>
              <w:spacing w:line="240" w:lineRule="atLeast"/>
              <w:jc w:val="center"/>
              <w:rPr>
                <w:rFonts w:ascii="仿宋_GB2312" w:hAnsi="仿宋_GB2312" w:eastAsia="仿宋_GB2312" w:cs="仿宋_GB2312"/>
                <w:szCs w:val="21"/>
              </w:rPr>
            </w:pPr>
          </w:p>
        </w:tc>
        <w:tc>
          <w:tcPr>
            <w:tcW w:w="2169" w:type="dxa"/>
            <w:vAlign w:val="center"/>
          </w:tcPr>
          <w:p>
            <w:pPr>
              <w:spacing w:line="240" w:lineRule="atLeast"/>
              <w:jc w:val="center"/>
              <w:rPr>
                <w:rFonts w:ascii="仿宋_GB2312" w:hAnsi="仿宋_GB2312" w:eastAsia="仿宋_GB2312" w:cs="仿宋_GB2312"/>
                <w:szCs w:val="21"/>
              </w:rPr>
            </w:pPr>
          </w:p>
        </w:tc>
        <w:tc>
          <w:tcPr>
            <w:tcW w:w="808" w:type="dxa"/>
            <w:vAlign w:val="center"/>
          </w:tcPr>
          <w:p>
            <w:pPr>
              <w:spacing w:line="240" w:lineRule="atLeast"/>
              <w:jc w:val="center"/>
              <w:rPr>
                <w:rFonts w:ascii="仿宋_GB2312" w:hAnsi="仿宋_GB2312" w:eastAsia="仿宋_GB2312" w:cs="仿宋_GB2312"/>
                <w:szCs w:val="21"/>
              </w:rPr>
            </w:pPr>
          </w:p>
        </w:tc>
        <w:tc>
          <w:tcPr>
            <w:tcW w:w="687" w:type="dxa"/>
            <w:vAlign w:val="center"/>
          </w:tcPr>
          <w:p>
            <w:pPr>
              <w:spacing w:line="240" w:lineRule="atLeas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669" w:type="dxa"/>
            <w:vAlign w:val="center"/>
          </w:tcPr>
          <w:p>
            <w:pPr>
              <w:spacing w:line="240" w:lineRule="atLeast"/>
              <w:jc w:val="center"/>
              <w:rPr>
                <w:rFonts w:ascii="仿宋_GB2312" w:hAnsi="仿宋_GB2312" w:eastAsia="仿宋_GB2312" w:cs="仿宋_GB2312"/>
                <w:szCs w:val="21"/>
              </w:rPr>
            </w:pPr>
            <w:bookmarkStart w:id="86" w:name="_Toc295404987"/>
            <w:bookmarkStart w:id="87" w:name="_Toc373333695"/>
            <w:bookmarkStart w:id="88" w:name="_Toc254970735"/>
            <w:bookmarkStart w:id="89" w:name="_Toc254970594"/>
            <w:bookmarkStart w:id="90" w:name="_Toc173066407"/>
            <w:bookmarkStart w:id="91" w:name="_Toc173211906"/>
            <w:bookmarkStart w:id="92" w:name="_Toc297193191"/>
            <w:bookmarkStart w:id="93" w:name="_Toc301781617"/>
            <w:bookmarkStart w:id="94" w:name="_Toc383699912"/>
            <w:r>
              <w:rPr>
                <w:rFonts w:hint="eastAsia" w:ascii="仿宋_GB2312" w:hAnsi="仿宋_GB2312" w:eastAsia="仿宋_GB2312" w:cs="仿宋_GB2312"/>
                <w:szCs w:val="21"/>
              </w:rPr>
              <w:t>2</w:t>
            </w:r>
            <w:bookmarkEnd w:id="86"/>
            <w:bookmarkEnd w:id="87"/>
            <w:bookmarkEnd w:id="88"/>
            <w:bookmarkEnd w:id="89"/>
            <w:bookmarkEnd w:id="90"/>
            <w:bookmarkEnd w:id="91"/>
            <w:bookmarkEnd w:id="92"/>
            <w:bookmarkEnd w:id="93"/>
            <w:bookmarkEnd w:id="94"/>
          </w:p>
        </w:tc>
        <w:tc>
          <w:tcPr>
            <w:tcW w:w="800" w:type="dxa"/>
            <w:tcBorders>
              <w:right w:val="single" w:color="auto" w:sz="4" w:space="0"/>
            </w:tcBorders>
            <w:vAlign w:val="center"/>
          </w:tcPr>
          <w:p>
            <w:pPr>
              <w:spacing w:line="240" w:lineRule="atLeast"/>
              <w:jc w:val="center"/>
              <w:rPr>
                <w:rFonts w:ascii="仿宋_GB2312" w:hAnsi="仿宋_GB2312" w:eastAsia="仿宋_GB2312" w:cs="仿宋_GB2312"/>
                <w:szCs w:val="21"/>
              </w:rPr>
            </w:pPr>
          </w:p>
        </w:tc>
        <w:tc>
          <w:tcPr>
            <w:tcW w:w="3658" w:type="dxa"/>
            <w:tcBorders>
              <w:left w:val="single" w:color="auto" w:sz="4" w:space="0"/>
            </w:tcBorders>
            <w:vAlign w:val="center"/>
          </w:tcPr>
          <w:p>
            <w:pPr>
              <w:spacing w:line="240" w:lineRule="atLeast"/>
              <w:jc w:val="center"/>
              <w:rPr>
                <w:rFonts w:ascii="仿宋_GB2312" w:hAnsi="仿宋_GB2312" w:eastAsia="仿宋_GB2312" w:cs="仿宋_GB2312"/>
                <w:szCs w:val="21"/>
              </w:rPr>
            </w:pPr>
          </w:p>
        </w:tc>
        <w:tc>
          <w:tcPr>
            <w:tcW w:w="2169" w:type="dxa"/>
            <w:vAlign w:val="center"/>
          </w:tcPr>
          <w:p>
            <w:pPr>
              <w:spacing w:line="240" w:lineRule="atLeast"/>
              <w:jc w:val="center"/>
              <w:rPr>
                <w:rFonts w:ascii="仿宋_GB2312" w:hAnsi="仿宋_GB2312" w:eastAsia="仿宋_GB2312" w:cs="仿宋_GB2312"/>
                <w:szCs w:val="21"/>
              </w:rPr>
            </w:pPr>
          </w:p>
        </w:tc>
        <w:tc>
          <w:tcPr>
            <w:tcW w:w="808" w:type="dxa"/>
            <w:vAlign w:val="center"/>
          </w:tcPr>
          <w:p>
            <w:pPr>
              <w:spacing w:line="240" w:lineRule="atLeast"/>
              <w:jc w:val="center"/>
              <w:rPr>
                <w:rFonts w:ascii="仿宋_GB2312" w:hAnsi="仿宋_GB2312" w:eastAsia="仿宋_GB2312" w:cs="仿宋_GB2312"/>
                <w:szCs w:val="21"/>
              </w:rPr>
            </w:pPr>
          </w:p>
        </w:tc>
        <w:tc>
          <w:tcPr>
            <w:tcW w:w="687" w:type="dxa"/>
            <w:vAlign w:val="center"/>
          </w:tcPr>
          <w:p>
            <w:pPr>
              <w:spacing w:line="240" w:lineRule="atLeas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669" w:type="dxa"/>
            <w:vAlign w:val="center"/>
          </w:tcPr>
          <w:p>
            <w:pPr>
              <w:spacing w:line="240" w:lineRule="atLeast"/>
              <w:jc w:val="center"/>
              <w:rPr>
                <w:rFonts w:ascii="仿宋_GB2312" w:hAnsi="仿宋_GB2312" w:eastAsia="仿宋_GB2312" w:cs="仿宋_GB2312"/>
                <w:szCs w:val="21"/>
              </w:rPr>
            </w:pPr>
            <w:bookmarkStart w:id="95" w:name="_Toc373333696"/>
            <w:bookmarkStart w:id="96" w:name="_Toc254970736"/>
            <w:bookmarkStart w:id="97" w:name="_Toc301781618"/>
            <w:bookmarkStart w:id="98" w:name="_Toc383699913"/>
            <w:bookmarkStart w:id="99" w:name="_Toc295404988"/>
            <w:bookmarkStart w:id="100" w:name="_Toc173211907"/>
            <w:bookmarkStart w:id="101" w:name="_Toc254970595"/>
            <w:bookmarkStart w:id="102" w:name="_Toc173066408"/>
            <w:bookmarkStart w:id="103" w:name="_Toc297193192"/>
            <w:r>
              <w:rPr>
                <w:rFonts w:hint="eastAsia" w:ascii="仿宋_GB2312" w:hAnsi="仿宋_GB2312" w:eastAsia="仿宋_GB2312" w:cs="仿宋_GB2312"/>
                <w:szCs w:val="21"/>
              </w:rPr>
              <w:t>3</w:t>
            </w:r>
            <w:bookmarkEnd w:id="95"/>
            <w:bookmarkEnd w:id="96"/>
            <w:bookmarkEnd w:id="97"/>
            <w:bookmarkEnd w:id="98"/>
            <w:bookmarkEnd w:id="99"/>
            <w:bookmarkEnd w:id="100"/>
            <w:bookmarkEnd w:id="101"/>
            <w:bookmarkEnd w:id="102"/>
            <w:bookmarkEnd w:id="103"/>
          </w:p>
        </w:tc>
        <w:tc>
          <w:tcPr>
            <w:tcW w:w="800" w:type="dxa"/>
            <w:tcBorders>
              <w:right w:val="single" w:color="auto" w:sz="4" w:space="0"/>
            </w:tcBorders>
            <w:vAlign w:val="center"/>
          </w:tcPr>
          <w:p>
            <w:pPr>
              <w:spacing w:line="240" w:lineRule="atLeast"/>
              <w:jc w:val="center"/>
              <w:rPr>
                <w:rFonts w:ascii="仿宋_GB2312" w:hAnsi="仿宋_GB2312" w:eastAsia="仿宋_GB2312" w:cs="仿宋_GB2312"/>
                <w:szCs w:val="21"/>
              </w:rPr>
            </w:pPr>
          </w:p>
        </w:tc>
        <w:tc>
          <w:tcPr>
            <w:tcW w:w="3658" w:type="dxa"/>
            <w:tcBorders>
              <w:left w:val="single" w:color="auto" w:sz="4" w:space="0"/>
            </w:tcBorders>
            <w:vAlign w:val="center"/>
          </w:tcPr>
          <w:p>
            <w:pPr>
              <w:spacing w:line="240" w:lineRule="atLeast"/>
              <w:jc w:val="center"/>
              <w:rPr>
                <w:rFonts w:ascii="仿宋_GB2312" w:hAnsi="仿宋_GB2312" w:eastAsia="仿宋_GB2312" w:cs="仿宋_GB2312"/>
                <w:szCs w:val="21"/>
              </w:rPr>
            </w:pPr>
          </w:p>
        </w:tc>
        <w:tc>
          <w:tcPr>
            <w:tcW w:w="2169" w:type="dxa"/>
            <w:vAlign w:val="center"/>
          </w:tcPr>
          <w:p>
            <w:pPr>
              <w:spacing w:line="240" w:lineRule="atLeast"/>
              <w:jc w:val="center"/>
              <w:rPr>
                <w:rFonts w:ascii="仿宋_GB2312" w:hAnsi="仿宋_GB2312" w:eastAsia="仿宋_GB2312" w:cs="仿宋_GB2312"/>
                <w:szCs w:val="21"/>
              </w:rPr>
            </w:pPr>
          </w:p>
        </w:tc>
        <w:tc>
          <w:tcPr>
            <w:tcW w:w="808" w:type="dxa"/>
            <w:vAlign w:val="center"/>
          </w:tcPr>
          <w:p>
            <w:pPr>
              <w:spacing w:line="240" w:lineRule="atLeast"/>
              <w:jc w:val="center"/>
              <w:rPr>
                <w:rFonts w:ascii="仿宋_GB2312" w:hAnsi="仿宋_GB2312" w:eastAsia="仿宋_GB2312" w:cs="仿宋_GB2312"/>
                <w:szCs w:val="21"/>
              </w:rPr>
            </w:pPr>
          </w:p>
        </w:tc>
        <w:tc>
          <w:tcPr>
            <w:tcW w:w="687" w:type="dxa"/>
            <w:vAlign w:val="center"/>
          </w:tcPr>
          <w:p>
            <w:pPr>
              <w:spacing w:line="240" w:lineRule="atLeast"/>
              <w:jc w:val="center"/>
              <w:rPr>
                <w:rFonts w:ascii="仿宋_GB2312" w:hAnsi="仿宋_GB2312" w:eastAsia="仿宋_GB2312" w:cs="仿宋_GB2312"/>
                <w:szCs w:val="21"/>
              </w:rPr>
            </w:pPr>
          </w:p>
        </w:tc>
      </w:tr>
    </w:tbl>
    <w:p>
      <w:pPr>
        <w:adjustRightInd w:val="0"/>
        <w:snapToGrid w:val="0"/>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说明：应对照竞争性磋商文件“第三章 采购需求”，逐条说明所提供服务已对竞争性磋商文件的</w:t>
      </w:r>
      <w:r>
        <w:rPr>
          <w:rFonts w:hint="eastAsia" w:ascii="宋体" w:hAnsi="宋体" w:eastAsia="仿宋_GB2312" w:cs="宋体"/>
          <w:kern w:val="0"/>
          <w:sz w:val="32"/>
          <w:szCs w:val="21"/>
        </w:rPr>
        <w:t>技术需求</w:t>
      </w:r>
      <w:r>
        <w:rPr>
          <w:rFonts w:hint="eastAsia" w:ascii="仿宋_GB2312" w:hAnsi="仿宋_GB2312" w:eastAsia="仿宋_GB2312" w:cs="仿宋_GB2312"/>
          <w:kern w:val="0"/>
          <w:sz w:val="32"/>
          <w:szCs w:val="32"/>
        </w:rPr>
        <w:t>做出了实质性的响应，并申明与</w:t>
      </w:r>
      <w:r>
        <w:rPr>
          <w:rFonts w:hint="eastAsia" w:ascii="宋体" w:hAnsi="宋体" w:eastAsia="仿宋_GB2312" w:cs="宋体"/>
          <w:kern w:val="0"/>
          <w:sz w:val="32"/>
          <w:szCs w:val="21"/>
        </w:rPr>
        <w:t>技术需求</w:t>
      </w:r>
      <w:r>
        <w:rPr>
          <w:rFonts w:hint="eastAsia" w:ascii="仿宋_GB2312" w:hAnsi="仿宋_GB2312" w:eastAsia="仿宋_GB2312" w:cs="仿宋_GB2312"/>
          <w:kern w:val="0"/>
          <w:sz w:val="32"/>
          <w:szCs w:val="32"/>
        </w:rPr>
        <w:t>条文的响应和偏离。</w:t>
      </w:r>
    </w:p>
    <w:p>
      <w:pPr>
        <w:spacing w:line="520" w:lineRule="exact"/>
        <w:rPr>
          <w:rFonts w:ascii="仿宋_GB2312" w:hAnsi="仿宋_GB2312" w:eastAsia="仿宋_GB2312" w:cs="仿宋_GB2312"/>
          <w:kern w:val="0"/>
          <w:sz w:val="32"/>
          <w:szCs w:val="32"/>
        </w:rPr>
      </w:pPr>
    </w:p>
    <w:p>
      <w:pPr>
        <w:snapToGrid w:val="0"/>
        <w:spacing w:before="50" w:after="50" w:line="520" w:lineRule="exact"/>
        <w:ind w:right="-817" w:rightChars="-389"/>
        <w:rPr>
          <w:rFonts w:ascii="仿宋_GB2312" w:hAnsi="仿宋_GB2312" w:eastAsia="仿宋_GB2312" w:cs="仿宋_GB2312"/>
          <w:sz w:val="32"/>
          <w:szCs w:val="32"/>
        </w:rPr>
      </w:pPr>
    </w:p>
    <w:p>
      <w:pPr>
        <w:snapToGrid w:val="0"/>
        <w:spacing w:before="50" w:after="50" w:line="520" w:lineRule="exact"/>
        <w:ind w:right="-817" w:rightChars="-389"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法定代表人或委托代理人（签字）：                    </w:t>
      </w:r>
    </w:p>
    <w:p>
      <w:pPr>
        <w:snapToGrid w:val="0"/>
        <w:spacing w:before="50" w:after="50" w:line="520" w:lineRule="exact"/>
        <w:ind w:right="-817" w:rightChars="-389"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供应商（盖公章）：      </w:t>
      </w:r>
    </w:p>
    <w:p>
      <w:pPr>
        <w:snapToGrid w:val="0"/>
        <w:spacing w:before="50" w:after="50" w:line="520" w:lineRule="exact"/>
        <w:ind w:right="-817" w:rightChars="-389" w:firstLine="5440" w:firstLineChars="1700"/>
        <w:rPr>
          <w:rFonts w:ascii="仿宋_GB2312" w:hAnsi="仿宋_GB2312" w:eastAsia="仿宋_GB2312" w:cs="仿宋_GB2312"/>
          <w:b/>
          <w:sz w:val="32"/>
          <w:szCs w:val="32"/>
        </w:rPr>
      </w:pPr>
      <w:r>
        <w:rPr>
          <w:rFonts w:hint="eastAsia" w:ascii="仿宋_GB2312" w:hAnsi="仿宋_GB2312" w:eastAsia="仿宋_GB2312" w:cs="仿宋_GB2312"/>
          <w:sz w:val="32"/>
          <w:szCs w:val="32"/>
        </w:rPr>
        <w:t>日期：   年   月   日</w:t>
      </w:r>
    </w:p>
    <w:p>
      <w:pPr>
        <w:spacing w:line="300" w:lineRule="auto"/>
        <w:rPr>
          <w:rFonts w:ascii="宋体" w:hAnsi="宋体"/>
          <w:b/>
          <w:bCs/>
          <w:sz w:val="24"/>
          <w:szCs w:val="24"/>
        </w:rPr>
      </w:pPr>
      <w:r>
        <w:rPr>
          <w:rFonts w:ascii="宋体" w:hAnsi="宋体"/>
          <w:b/>
          <w:bCs/>
          <w:sz w:val="24"/>
          <w:szCs w:val="24"/>
        </w:rPr>
        <w:br w:type="page"/>
      </w:r>
      <w:r>
        <w:rPr>
          <w:rFonts w:hint="eastAsia" w:ascii="宋体" w:hAnsi="宋体"/>
          <w:b/>
          <w:bCs/>
          <w:sz w:val="24"/>
          <w:szCs w:val="24"/>
        </w:rPr>
        <w:t>其他文书、文件格式</w:t>
      </w:r>
    </w:p>
    <w:p>
      <w:pPr>
        <w:spacing w:line="300" w:lineRule="auto"/>
        <w:rPr>
          <w:rFonts w:ascii="宋体" w:hAnsi="宋体"/>
          <w:b/>
          <w:bCs/>
          <w:sz w:val="24"/>
          <w:szCs w:val="24"/>
        </w:rPr>
      </w:pPr>
    </w:p>
    <w:p>
      <w:pPr>
        <w:spacing w:line="300" w:lineRule="auto"/>
        <w:jc w:val="center"/>
        <w:rPr>
          <w:rFonts w:ascii="宋体" w:hAnsi="宋体"/>
          <w:szCs w:val="21"/>
        </w:rPr>
      </w:pPr>
      <w:r>
        <w:rPr>
          <w:rFonts w:hint="eastAsia" w:ascii="方正小标宋简体" w:hAnsi="方正小标宋简体" w:eastAsia="方正小标宋简体" w:cs="方正小标宋简体"/>
          <w:sz w:val="44"/>
          <w:szCs w:val="44"/>
        </w:rPr>
        <w:t>“格式自拟”</w:t>
      </w:r>
    </w:p>
    <w:p>
      <w:pPr>
        <w:spacing w:line="520" w:lineRule="exact"/>
        <w:rPr>
          <w:rFonts w:ascii="宋体" w:hAnsi="宋体"/>
          <w:szCs w:val="21"/>
        </w:rPr>
      </w:pPr>
      <w:r>
        <w:rPr>
          <w:rFonts w:ascii="仿宋_GB2312" w:hAnsi="仿宋_GB2312" w:eastAsia="仿宋_GB2312" w:cs="仿宋_GB2312"/>
          <w:sz w:val="32"/>
          <w:szCs w:val="32"/>
        </w:rPr>
        <w:br w:type="page"/>
      </w:r>
    </w:p>
    <w:p>
      <w:pPr>
        <w:keepNext/>
        <w:keepLines/>
        <w:spacing w:before="260" w:after="260" w:line="520" w:lineRule="exact"/>
        <w:jc w:val="center"/>
        <w:outlineLvl w:val="1"/>
        <w:rPr>
          <w:rFonts w:ascii="宋体" w:hAnsi="宋体" w:cs="Courier New"/>
          <w:b/>
          <w:sz w:val="32"/>
          <w:szCs w:val="32"/>
        </w:rPr>
      </w:pPr>
      <w:bookmarkStart w:id="104" w:name="_Toc47625234"/>
      <w:bookmarkStart w:id="105" w:name="_Toc44229900"/>
      <w:r>
        <w:rPr>
          <w:rFonts w:hint="eastAsia" w:ascii="Cambria" w:hAnsi="Cambria"/>
          <w:b/>
          <w:bCs/>
          <w:sz w:val="32"/>
          <w:szCs w:val="32"/>
        </w:rPr>
        <w:t>第六章合同文本</w:t>
      </w:r>
      <w:bookmarkEnd w:id="104"/>
      <w:bookmarkEnd w:id="105"/>
    </w:p>
    <w:p>
      <w:pPr>
        <w:spacing w:line="560" w:lineRule="exact"/>
        <w:jc w:val="center"/>
        <w:rPr>
          <w:rFonts w:ascii="宋体" w:hAnsi="宋体"/>
          <w:sz w:val="44"/>
          <w:szCs w:val="44"/>
        </w:rPr>
      </w:pPr>
      <w:r>
        <w:rPr>
          <w:rFonts w:hint="eastAsia" w:ascii="宋体" w:hAnsi="宋体"/>
          <w:sz w:val="44"/>
          <w:szCs w:val="44"/>
        </w:rPr>
        <w:t>食堂外包服务采购合同</w:t>
      </w:r>
    </w:p>
    <w:p>
      <w:pPr>
        <w:spacing w:line="560" w:lineRule="exact"/>
        <w:jc w:val="center"/>
        <w:rPr>
          <w:rFonts w:ascii="宋体" w:hAnsi="宋体"/>
          <w:sz w:val="44"/>
          <w:szCs w:val="44"/>
        </w:rPr>
      </w:pPr>
      <w:r>
        <w:rPr>
          <w:rFonts w:hint="eastAsia" w:ascii="宋体" w:hAnsi="宋体"/>
          <w:sz w:val="44"/>
          <w:szCs w:val="44"/>
        </w:rPr>
        <w:t>（范本）</w:t>
      </w:r>
    </w:p>
    <w:p>
      <w:pPr>
        <w:spacing w:line="400" w:lineRule="exact"/>
        <w:jc w:val="center"/>
        <w:rPr>
          <w:sz w:val="30"/>
          <w:szCs w:val="30"/>
        </w:rPr>
      </w:pPr>
    </w:p>
    <w:p>
      <w:pPr>
        <w:spacing w:line="480" w:lineRule="exact"/>
        <w:rPr>
          <w:rFonts w:asciiTheme="minorEastAsia" w:hAnsiTheme="minorEastAsia" w:eastAsiaTheme="minorEastAsia"/>
          <w:bCs/>
          <w:szCs w:val="21"/>
        </w:rPr>
      </w:pPr>
      <w:r>
        <w:rPr>
          <w:rFonts w:hint="eastAsia" w:asciiTheme="minorEastAsia" w:hAnsiTheme="minorEastAsia" w:eastAsiaTheme="minorEastAsia"/>
          <w:bCs/>
          <w:szCs w:val="21"/>
        </w:rPr>
        <w:t>甲方：</w:t>
      </w:r>
    </w:p>
    <w:p>
      <w:pPr>
        <w:spacing w:line="480" w:lineRule="exact"/>
        <w:rPr>
          <w:rFonts w:asciiTheme="minorEastAsia" w:hAnsiTheme="minorEastAsia" w:eastAsiaTheme="minorEastAsia"/>
          <w:bCs/>
          <w:szCs w:val="21"/>
        </w:rPr>
      </w:pPr>
      <w:r>
        <w:rPr>
          <w:rFonts w:hint="eastAsia" w:asciiTheme="minorEastAsia" w:hAnsiTheme="minorEastAsia" w:eastAsiaTheme="minorEastAsia"/>
          <w:bCs/>
          <w:szCs w:val="21"/>
        </w:rPr>
        <w:t>乙方：</w:t>
      </w:r>
    </w:p>
    <w:p>
      <w:pPr>
        <w:spacing w:line="480" w:lineRule="exact"/>
        <w:rPr>
          <w:rFonts w:asciiTheme="minorEastAsia" w:hAnsiTheme="minorEastAsia" w:eastAsiaTheme="minorEastAsia"/>
          <w:szCs w:val="21"/>
        </w:rPr>
      </w:pP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根据我国《中华人民共和国民法典》及相关法律规定的法定，甲乙双方经充分协商，在平等、自愿的基础上，就食堂外包事宜达成以下协议，并承诺共同遵守。</w:t>
      </w:r>
    </w:p>
    <w:p>
      <w:pPr>
        <w:spacing w:line="48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一、食堂（场地）位置及用途</w:t>
      </w:r>
    </w:p>
    <w:p>
      <w:pPr>
        <w:spacing w:line="400" w:lineRule="exact"/>
        <w:ind w:firstLine="480" w:firstLineChars="200"/>
        <w:rPr>
          <w:rFonts w:hint="default" w:asciiTheme="minorEastAsia" w:hAnsiTheme="minorEastAsia" w:eastAsiaTheme="minorEastAsia"/>
          <w:szCs w:val="21"/>
          <w:u w:val="single"/>
          <w:lang w:val="en-US" w:eastAsia="zh-CN"/>
        </w:rPr>
      </w:pPr>
      <w:r>
        <w:rPr>
          <w:rStyle w:val="123"/>
          <w:rFonts w:hint="eastAsia" w:asciiTheme="minorEastAsia" w:hAnsiTheme="minorEastAsia" w:eastAsiaTheme="minorEastAsia" w:cstheme="minorEastAsia"/>
          <w:sz w:val="24"/>
          <w:szCs w:val="24"/>
        </w:rPr>
        <w:t>1.</w:t>
      </w:r>
      <w:r>
        <w:rPr>
          <w:rFonts w:hint="eastAsia" w:asciiTheme="minorEastAsia" w:hAnsiTheme="minorEastAsia" w:eastAsiaTheme="minorEastAsia"/>
          <w:szCs w:val="21"/>
        </w:rPr>
        <w:t>甲方提供甲方场地三楼食堂面积约</w:t>
      </w:r>
      <w:r>
        <w:rPr>
          <w:rFonts w:hint="eastAsia" w:asciiTheme="minorEastAsia" w:hAnsiTheme="minorEastAsia" w:eastAsiaTheme="minorEastAsia"/>
          <w:szCs w:val="21"/>
          <w:u w:val="single"/>
        </w:rPr>
        <w:t>590</w:t>
      </w:r>
      <w:r>
        <w:rPr>
          <w:rFonts w:hint="eastAsia" w:asciiTheme="minorEastAsia" w:hAnsiTheme="minorEastAsia" w:eastAsiaTheme="minorEastAsia"/>
          <w:szCs w:val="21"/>
        </w:rPr>
        <w:t>平方米（其中大厅用餐区面积约300平方米；包厢共3个，总面积约150平方米；厨房面积约80平方米；洗碗间约60平方米。），加工间、雪库、干货仓3个功能区域位于会展大厦的负二层，面积约为110平方米。给乙方承包。经营内容以食堂供应大众饭菜为主，在满足早中晚大众饭菜的前提下，</w:t>
      </w:r>
      <w:r>
        <w:rPr>
          <w:rFonts w:ascii="微软雅黑" w:hAnsi="微软雅黑" w:eastAsia="微软雅黑" w:cs="微软雅黑"/>
          <w:i w:val="0"/>
          <w:caps w:val="0"/>
          <w:color w:val="171A1D"/>
          <w:spacing w:val="0"/>
          <w:sz w:val="21"/>
          <w:szCs w:val="21"/>
          <w:shd w:val="clear" w:fill="FFFFFF"/>
        </w:rPr>
        <w:t>乙方须供应特色餐饮（含卤味、烧味、中西式包点和糕点等外带熟食）、小卖部。小卖部出售的商品价格不得高出周边同等商品的10%。</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2.该食堂（场地）的现有附属设备，在合同签订前经双方盘点交接并签署确认文件。</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3.乙方在签订本合同前已向甲方了解并到到现场查看，对食堂（场地）包括权属、规划用途、结构、面积、装修装饰、所处位置、周边环境等相关情况及现状已作详细了解并接受且无任何异议。</w:t>
      </w:r>
    </w:p>
    <w:p>
      <w:pPr>
        <w:spacing w:line="48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二、承包期限</w:t>
      </w:r>
    </w:p>
    <w:p>
      <w:pPr>
        <w:spacing w:line="480" w:lineRule="exact"/>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承包期：自</w:t>
      </w:r>
      <w:r>
        <w:rPr>
          <w:rFonts w:hint="eastAsia" w:asciiTheme="minorEastAsia" w:hAnsiTheme="minorEastAsia" w:eastAsiaTheme="minorEastAsia"/>
          <w:bCs/>
          <w:kern w:val="0"/>
          <w:szCs w:val="21"/>
          <w:u w:val="single"/>
        </w:rPr>
        <w:t>合同签订之日起2年</w:t>
      </w:r>
      <w:r>
        <w:rPr>
          <w:rFonts w:hint="eastAsia" w:asciiTheme="minorEastAsia" w:hAnsiTheme="minorEastAsia" w:eastAsiaTheme="minorEastAsia"/>
          <w:szCs w:val="21"/>
          <w:u w:val="single"/>
        </w:rPr>
        <w:t>。</w:t>
      </w:r>
    </w:p>
    <w:p>
      <w:pPr>
        <w:spacing w:line="480" w:lineRule="exact"/>
        <w:ind w:firstLine="422" w:firstLineChars="200"/>
        <w:rPr>
          <w:rFonts w:hint="default" w:asciiTheme="minorEastAsia" w:hAnsiTheme="minorEastAsia" w:eastAsiaTheme="minorEastAsia"/>
          <w:b/>
          <w:bCs w:val="0"/>
          <w:color w:val="auto"/>
          <w:szCs w:val="21"/>
          <w:highlight w:val="none"/>
          <w:lang w:val="en-US" w:eastAsia="zh-CN"/>
        </w:rPr>
      </w:pPr>
      <w:r>
        <w:rPr>
          <w:rFonts w:hint="eastAsia" w:asciiTheme="minorEastAsia" w:hAnsiTheme="minorEastAsia" w:eastAsiaTheme="minorEastAsia"/>
          <w:b/>
          <w:bCs w:val="0"/>
          <w:color w:val="auto"/>
          <w:szCs w:val="21"/>
          <w:highlight w:val="none"/>
        </w:rPr>
        <w:t>三、经营场地及</w:t>
      </w:r>
      <w:r>
        <w:rPr>
          <w:rFonts w:hint="eastAsia" w:asciiTheme="minorEastAsia" w:hAnsiTheme="minorEastAsia" w:eastAsiaTheme="minorEastAsia"/>
          <w:b/>
          <w:bCs w:val="0"/>
          <w:color w:val="auto"/>
          <w:szCs w:val="21"/>
          <w:highlight w:val="none"/>
          <w:lang w:val="en-US" w:eastAsia="zh-CN"/>
        </w:rPr>
        <w:t>水电、煤气费等</w:t>
      </w:r>
    </w:p>
    <w:p>
      <w:pPr>
        <w:widowControl/>
        <w:numPr>
          <w:ilvl w:val="255"/>
          <w:numId w:val="0"/>
        </w:numPr>
        <w:spacing w:line="336" w:lineRule="auto"/>
        <w:ind w:firstLine="420" w:firstLineChars="200"/>
        <w:jc w:val="left"/>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甲方向乙方提供经营场地，乙方需缴纳</w:t>
      </w:r>
      <w:r>
        <w:rPr>
          <w:rFonts w:hint="eastAsia" w:asciiTheme="minorEastAsia" w:hAnsiTheme="minorEastAsia" w:eastAsiaTheme="minorEastAsia" w:cstheme="minorEastAsia"/>
          <w:b w:val="0"/>
          <w:bCs/>
          <w:color w:val="auto"/>
          <w:sz w:val="21"/>
          <w:szCs w:val="21"/>
        </w:rPr>
        <w:t>场地使用费人民币2万元/月，共计人民币24万/年</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lang w:val="en-US" w:eastAsia="zh-CN"/>
        </w:rPr>
        <w:t>费用包含不仅限物业管理费、水电费、煤气费、垃圾清运费、隔油池清洁费、设备维修费等）。</w:t>
      </w:r>
    </w:p>
    <w:p>
      <w:pPr>
        <w:numPr>
          <w:ilvl w:val="0"/>
          <w:numId w:val="0"/>
        </w:numPr>
        <w:spacing w:line="48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lang w:val="en-US" w:eastAsia="zh-CN"/>
        </w:rPr>
        <w:t>四、</w:t>
      </w:r>
      <w:r>
        <w:rPr>
          <w:rFonts w:hint="eastAsia" w:asciiTheme="minorEastAsia" w:hAnsiTheme="minorEastAsia" w:eastAsiaTheme="minorEastAsia"/>
          <w:b/>
          <w:szCs w:val="21"/>
        </w:rPr>
        <w:t>履约保证金</w:t>
      </w:r>
    </w:p>
    <w:p>
      <w:pPr>
        <w:numPr>
          <w:ilvl w:val="0"/>
          <w:numId w:val="3"/>
        </w:numPr>
        <w:spacing w:line="480" w:lineRule="exact"/>
        <w:ind w:firstLine="420" w:firstLineChars="200"/>
        <w:rPr>
          <w:rFonts w:cs="仿宋" w:asciiTheme="minorEastAsia" w:hAnsiTheme="minorEastAsia" w:eastAsiaTheme="minorEastAsia"/>
          <w:bCs/>
          <w:szCs w:val="21"/>
        </w:rPr>
      </w:pPr>
      <w:r>
        <w:rPr>
          <w:rFonts w:hint="eastAsia" w:cs="仿宋" w:asciiTheme="minorEastAsia" w:hAnsiTheme="minorEastAsia" w:eastAsiaTheme="minorEastAsia"/>
          <w:bCs/>
          <w:szCs w:val="21"/>
        </w:rPr>
        <w:t>乙方在签订本合同前，须向甲方</w:t>
      </w:r>
      <w:r>
        <w:rPr>
          <w:rFonts w:hint="eastAsia" w:asciiTheme="minorEastAsia" w:hAnsiTheme="minorEastAsia" w:eastAsiaTheme="minorEastAsia"/>
          <w:bCs/>
          <w:szCs w:val="21"/>
        </w:rPr>
        <w:t>缴</w:t>
      </w:r>
      <w:r>
        <w:rPr>
          <w:rFonts w:hint="eastAsia" w:cs="仿宋" w:asciiTheme="minorEastAsia" w:hAnsiTheme="minorEastAsia" w:eastAsiaTheme="minorEastAsia"/>
          <w:bCs/>
          <w:szCs w:val="21"/>
        </w:rPr>
        <w:t>纳</w:t>
      </w:r>
      <w:r>
        <w:rPr>
          <w:rFonts w:hint="eastAsia" w:cs="仿宋" w:asciiTheme="minorEastAsia" w:hAnsiTheme="minorEastAsia" w:eastAsiaTheme="minorEastAsia"/>
          <w:bCs/>
          <w:szCs w:val="21"/>
          <w:lang w:val="en-US" w:eastAsia="zh-CN"/>
        </w:rPr>
        <w:t>壹拾</w:t>
      </w:r>
      <w:r>
        <w:rPr>
          <w:rFonts w:hint="eastAsia" w:cs="仿宋" w:asciiTheme="minorEastAsia" w:hAnsiTheme="minorEastAsia" w:eastAsiaTheme="minorEastAsia"/>
          <w:bCs/>
          <w:szCs w:val="21"/>
        </w:rPr>
        <w:t>万元整（¥</w:t>
      </w:r>
      <w:r>
        <w:rPr>
          <w:rFonts w:hint="eastAsia" w:cs="仿宋" w:asciiTheme="minorEastAsia" w:hAnsiTheme="minorEastAsia" w:eastAsiaTheme="minorEastAsia"/>
          <w:bCs/>
          <w:szCs w:val="21"/>
          <w:lang w:val="en-US" w:eastAsia="zh-CN"/>
        </w:rPr>
        <w:t>10</w:t>
      </w:r>
      <w:r>
        <w:rPr>
          <w:rFonts w:hint="eastAsia" w:cs="仿宋" w:asciiTheme="minorEastAsia" w:hAnsiTheme="minorEastAsia" w:eastAsiaTheme="minorEastAsia"/>
          <w:bCs/>
          <w:szCs w:val="21"/>
        </w:rPr>
        <w:t>0000.00）履约保证金，以保证承包期间正常运行，如乙方违反相关法律法规，不履行所订立的合同，甲方有权解除合同。履约保证金不予返还，所造成的损失超过履约保证金数额的，还应对超出部分予以赔偿。</w:t>
      </w:r>
    </w:p>
    <w:p>
      <w:pPr>
        <w:numPr>
          <w:ilvl w:val="0"/>
          <w:numId w:val="3"/>
        </w:numPr>
        <w:spacing w:line="480" w:lineRule="exact"/>
        <w:ind w:firstLine="420" w:firstLineChars="200"/>
        <w:jc w:val="left"/>
        <w:textAlignment w:val="baseline"/>
        <w:rPr>
          <w:rFonts w:asciiTheme="minorEastAsia" w:hAnsiTheme="minorEastAsia" w:eastAsiaTheme="minorEastAsia"/>
          <w:bCs/>
          <w:szCs w:val="21"/>
        </w:rPr>
      </w:pPr>
      <w:r>
        <w:rPr>
          <w:rFonts w:hint="eastAsia" w:cs="仿宋" w:asciiTheme="minorEastAsia" w:hAnsiTheme="minorEastAsia" w:eastAsiaTheme="minorEastAsia"/>
          <w:bCs/>
          <w:szCs w:val="21"/>
        </w:rPr>
        <w:t>履约保证金在承包期满后乙方向甲方办理退付手续，乙方未出现本合同第十条第2项违约情况的，甲方将在收到完整且合格的退付申请资料后五个工作日内以转账或电汇方式无息退还乙方。</w:t>
      </w:r>
    </w:p>
    <w:p>
      <w:pPr>
        <w:spacing w:line="48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lang w:val="en-US" w:eastAsia="zh-CN"/>
        </w:rPr>
        <w:t>五</w:t>
      </w:r>
      <w:r>
        <w:rPr>
          <w:rFonts w:hint="eastAsia" w:asciiTheme="minorEastAsia" w:hAnsiTheme="minorEastAsia" w:eastAsiaTheme="minorEastAsia"/>
          <w:b/>
          <w:szCs w:val="21"/>
        </w:rPr>
        <w:t>、房屋（场地）装修、修缮及建设</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乙方可以对承包食堂（场地）进行局部装修，需要进行装修、建设及增加附属物的，应当将设计图纸、施工范围、工艺、用料等装修方案交甲方审查，并取得甲方同意后方可实施，所有相关费用由乙方自行承担。</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.乙方装修食堂时不得对房屋主体结构和承重结构进行改动和损坏。</w:t>
      </w:r>
    </w:p>
    <w:p>
      <w:pPr>
        <w:spacing w:line="48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lang w:val="en-US" w:eastAsia="zh-CN"/>
        </w:rPr>
        <w:t>六</w:t>
      </w:r>
      <w:r>
        <w:rPr>
          <w:rFonts w:hint="eastAsia" w:asciiTheme="minorEastAsia" w:hAnsiTheme="minorEastAsia" w:eastAsiaTheme="minorEastAsia"/>
          <w:b/>
          <w:szCs w:val="21"/>
        </w:rPr>
        <w:t>、房屋（场地）的交付和返还</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1.甲方应当于年月日将承包食堂（场地）交付乙方使用。</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2.合同期满或合同终止，乙方按合同期满或终止当时的食堂（场地）现状交还食堂（场地），不得破坏已经形成的附属物、房屋结构、地面现状、及其相关水、电设施，但可以移动的非固定装修部分除外。</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3.乙方返还的食堂（场地）及附属设施、设备应当达到正常的使用状态，否则，甲方可以拒绝收房，由此而产生的违约责任由乙方承担。</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乙方返还食堂（场地）时，乙方经甲方同意增加的附属物或搭建的临时建筑物应当无偿交还甲方；未经甲方同意增加的附属物或搭建的临时建筑物，乙方负责将其拆除，否则，甲方有权委托第三方拆除，费用由乙方承担。对于该附属物和临时建筑物，甲方均不给予乙方任何补偿。</w:t>
      </w:r>
    </w:p>
    <w:p>
      <w:pPr>
        <w:spacing w:line="48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lang w:val="en-US" w:eastAsia="zh-CN"/>
        </w:rPr>
        <w:t>七</w:t>
      </w:r>
      <w:r>
        <w:rPr>
          <w:rFonts w:hint="eastAsia" w:asciiTheme="minorEastAsia" w:hAnsiTheme="minorEastAsia" w:eastAsiaTheme="minorEastAsia"/>
          <w:b/>
          <w:szCs w:val="21"/>
        </w:rPr>
        <w:t>、甲方的权利义务</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1.甲方保证承包食堂（场地）权属清楚，若发生产权纠纷，由甲方承担相应的责任。</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bCs/>
          <w:szCs w:val="21"/>
        </w:rPr>
        <w:t>甲方对乙方经营的食堂存在卫生、质量、价格、服务态度等方面有检查监督的权利，有权对乙方不符合甲方相关管理制度和本合同约定的行为提出整改要求，或按相关约定对乙方作出处罚，但</w:t>
      </w:r>
      <w:r>
        <w:rPr>
          <w:rFonts w:hint="eastAsia" w:asciiTheme="minorEastAsia" w:hAnsiTheme="minorEastAsia" w:eastAsiaTheme="minorEastAsia"/>
          <w:szCs w:val="21"/>
        </w:rPr>
        <w:t>不得干涉乙方合法、正常的使用和经营活动。</w:t>
      </w:r>
    </w:p>
    <w:p>
      <w:pPr>
        <w:spacing w:line="48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lang w:val="en-US" w:eastAsia="zh-CN"/>
        </w:rPr>
        <w:t>八</w:t>
      </w:r>
      <w:r>
        <w:rPr>
          <w:rFonts w:hint="eastAsia" w:asciiTheme="minorEastAsia" w:hAnsiTheme="minorEastAsia" w:eastAsiaTheme="minorEastAsia"/>
          <w:b/>
          <w:szCs w:val="21"/>
        </w:rPr>
        <w:t>、乙方的权利义务</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1.乙方应当爱护和合理使用承包食堂（场地）及附属设施、设备。</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2.乙方自行承担承包食堂（场地）期间经营行为所发生的所有税费。</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3.乙方在承包期内，应当服从承包食堂（场地）甲方的管理，并做好安全、防火工作、承包食堂（场地）范围内乙方财务安全、人身安全由乙方自行负责。</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4.乙方应当遵守国家法律，法规的规定，不得违法经营。</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5.乙方不得未经甲方同意违法搭建临时建筑物和附属物。</w:t>
      </w:r>
    </w:p>
    <w:p>
      <w:pPr>
        <w:spacing w:line="48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6.在经营管理食堂期间，乙方</w:t>
      </w:r>
      <w:r>
        <w:rPr>
          <w:rFonts w:hint="eastAsia" w:asciiTheme="minorEastAsia" w:hAnsiTheme="minorEastAsia" w:eastAsiaTheme="minorEastAsia"/>
          <w:bCs/>
          <w:szCs w:val="21"/>
        </w:rPr>
        <w:t>必须严格执行</w:t>
      </w:r>
      <w:r>
        <w:rPr>
          <w:rFonts w:hint="eastAsia" w:asciiTheme="minorEastAsia" w:hAnsiTheme="minorEastAsia" w:eastAsiaTheme="minorEastAsia"/>
          <w:szCs w:val="21"/>
        </w:rPr>
        <w:t>《中华人民共和国食品安全法》</w:t>
      </w:r>
      <w:r>
        <w:rPr>
          <w:rFonts w:hint="eastAsia" w:asciiTheme="minorEastAsia" w:hAnsiTheme="minorEastAsia" w:eastAsiaTheme="minorEastAsia"/>
          <w:bCs/>
          <w:szCs w:val="21"/>
        </w:rPr>
        <w:t>，</w:t>
      </w:r>
      <w:r>
        <w:rPr>
          <w:rFonts w:hint="eastAsia" w:asciiTheme="minorEastAsia" w:hAnsiTheme="minorEastAsia" w:eastAsiaTheme="minorEastAsia"/>
          <w:szCs w:val="21"/>
        </w:rPr>
        <w:t>遵守国家《餐饮服务食品安全监督管理办法》、</w:t>
      </w:r>
      <w:r>
        <w:rPr>
          <w:rFonts w:hint="eastAsia" w:asciiTheme="minorEastAsia" w:hAnsiTheme="minorEastAsia" w:eastAsiaTheme="minorEastAsia"/>
          <w:bCs/>
          <w:szCs w:val="21"/>
        </w:rPr>
        <w:t>《餐饮服务食品安全操作规范》等法律法规、规程，</w:t>
      </w:r>
      <w:r>
        <w:rPr>
          <w:rFonts w:hint="eastAsia" w:asciiTheme="minorEastAsia" w:hAnsiTheme="minorEastAsia" w:eastAsiaTheme="minorEastAsia"/>
          <w:szCs w:val="21"/>
        </w:rPr>
        <w:t>依法经营。证照齐全，不得销售过期食品及三无产品。服从甲方的管理，自觉接受甲方、各级市场监督管理部门、卫生防疫等部门的监督检查，并按检查要求进行整改。</w:t>
      </w:r>
    </w:p>
    <w:p>
      <w:pPr>
        <w:spacing w:line="480" w:lineRule="exact"/>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7.乙方自主经营、独立核算、自负盈亏。乙方</w:t>
      </w:r>
      <w:r>
        <w:rPr>
          <w:rFonts w:hint="eastAsia" w:asciiTheme="minorEastAsia" w:hAnsiTheme="minorEastAsia" w:eastAsiaTheme="minorEastAsia"/>
          <w:szCs w:val="21"/>
        </w:rPr>
        <w:t>经营管理食堂期间，承担经营管理期间所发生的一切债权、债务及卫生、消防安全责任事故及其他责任事故的赔偿责任，食堂经营不得转包分包，主要提供职工及外来人员基本的一日三餐、及宵夜用餐不得超范围经营，如确实有需要须书面申请并经甲方同意方可执行，否则甲方有权责令乙方恢复并承担所有损失。</w:t>
      </w:r>
    </w:p>
    <w:p>
      <w:pPr>
        <w:spacing w:line="480" w:lineRule="exact"/>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szCs w:val="21"/>
        </w:rPr>
        <w:t>8.</w:t>
      </w:r>
      <w:r>
        <w:rPr>
          <w:rFonts w:hint="eastAsia" w:asciiTheme="minorEastAsia" w:hAnsiTheme="minorEastAsia" w:eastAsiaTheme="minorEastAsia"/>
          <w:bCs/>
          <w:szCs w:val="21"/>
        </w:rPr>
        <w:t>乙方的经营范围应符合食堂《食品经营许可证》规定的范围。可经营符合食品安全包装要求的糕点、预包装食品（含冷藏冷冻食品）销售、散装食品（不含冷藏冷冻食品）销售。禁止销售烟酒。</w:t>
      </w:r>
    </w:p>
    <w:p>
      <w:pPr>
        <w:pStyle w:val="27"/>
        <w:spacing w:line="480" w:lineRule="exact"/>
        <w:ind w:firstLine="420" w:firstLineChars="200"/>
        <w:rPr>
          <w:rFonts w:asciiTheme="minorEastAsia" w:hAnsiTheme="minorEastAsia" w:eastAsiaTheme="minorEastAsia"/>
          <w:sz w:val="21"/>
        </w:rPr>
      </w:pPr>
      <w:r>
        <w:rPr>
          <w:rFonts w:hint="eastAsia" w:asciiTheme="minorEastAsia" w:hAnsiTheme="minorEastAsia" w:eastAsiaTheme="minorEastAsia"/>
          <w:sz w:val="21"/>
        </w:rPr>
        <w:t>9.乙方违反承包合同及甲方相关的规定（如价格等），甲方有权提出整改意见，若</w:t>
      </w:r>
      <w:r>
        <w:rPr>
          <w:rFonts w:hint="eastAsia" w:asciiTheme="minorEastAsia" w:hAnsiTheme="minorEastAsia" w:eastAsiaTheme="minorEastAsia"/>
          <w:bCs/>
          <w:sz w:val="21"/>
        </w:rPr>
        <w:t>乙方</w:t>
      </w:r>
      <w:r>
        <w:rPr>
          <w:rFonts w:hint="eastAsia" w:asciiTheme="minorEastAsia" w:hAnsiTheme="minorEastAsia" w:eastAsiaTheme="minorEastAsia"/>
          <w:sz w:val="21"/>
        </w:rPr>
        <w:t>在整改限期内无故不按要求完成整改时，甲方将对乙方罚款1000元/次作为罚金，并发出二次整改意见书；若</w:t>
      </w:r>
      <w:r>
        <w:rPr>
          <w:rFonts w:hint="eastAsia" w:asciiTheme="minorEastAsia" w:hAnsiTheme="minorEastAsia" w:eastAsiaTheme="minorEastAsia"/>
          <w:bCs/>
          <w:sz w:val="21"/>
        </w:rPr>
        <w:t>乙方</w:t>
      </w:r>
      <w:r>
        <w:rPr>
          <w:rFonts w:hint="eastAsia" w:asciiTheme="minorEastAsia" w:hAnsiTheme="minorEastAsia" w:eastAsiaTheme="minorEastAsia"/>
          <w:sz w:val="21"/>
        </w:rPr>
        <w:t>在收到二次整改意见书后，还不能在规定时间内按要求完成整改的，甲方将对乙方罚款2000元/次作为罚金，并发出预警通知书；若</w:t>
      </w:r>
      <w:r>
        <w:rPr>
          <w:rFonts w:hint="eastAsia" w:asciiTheme="minorEastAsia" w:hAnsiTheme="minorEastAsia" w:eastAsiaTheme="minorEastAsia"/>
          <w:bCs/>
          <w:sz w:val="21"/>
        </w:rPr>
        <w:t>乙方</w:t>
      </w:r>
      <w:r>
        <w:rPr>
          <w:rFonts w:hint="eastAsia" w:asciiTheme="minorEastAsia" w:hAnsiTheme="minorEastAsia" w:eastAsiaTheme="minorEastAsia"/>
          <w:sz w:val="21"/>
        </w:rPr>
        <w:t>在收到预警通知书后，仍然坚持不按要求整改，甲方有权单方面解除合同，履约保证金不予退还，所造成的损失由</w:t>
      </w:r>
      <w:r>
        <w:rPr>
          <w:rFonts w:hint="eastAsia" w:asciiTheme="minorEastAsia" w:hAnsiTheme="minorEastAsia" w:eastAsiaTheme="minorEastAsia"/>
          <w:bCs/>
          <w:sz w:val="21"/>
        </w:rPr>
        <w:t>乙方</w:t>
      </w:r>
      <w:r>
        <w:rPr>
          <w:rFonts w:hint="eastAsia" w:asciiTheme="minorEastAsia" w:hAnsiTheme="minorEastAsia" w:eastAsiaTheme="minorEastAsia"/>
          <w:sz w:val="21"/>
        </w:rPr>
        <w:t>自行负责。</w:t>
      </w:r>
    </w:p>
    <w:p>
      <w:pPr>
        <w:pStyle w:val="27"/>
        <w:widowControl/>
        <w:spacing w:line="480" w:lineRule="exact"/>
        <w:ind w:firstLine="420" w:firstLineChars="200"/>
        <w:jc w:val="left"/>
        <w:rPr>
          <w:rFonts w:asciiTheme="minorEastAsia" w:hAnsiTheme="minorEastAsia" w:eastAsiaTheme="minorEastAsia"/>
          <w:sz w:val="21"/>
        </w:rPr>
      </w:pPr>
      <w:r>
        <w:rPr>
          <w:rFonts w:hint="eastAsia" w:asciiTheme="minorEastAsia" w:hAnsiTheme="minorEastAsia" w:eastAsiaTheme="minorEastAsia"/>
          <w:sz w:val="21"/>
        </w:rPr>
        <w:t>10.乙方派驻服务人员应能够满足食堂工作日早、中餐、晚餐用餐的供应和服务需求。且派驻人员持健康证上岗，</w:t>
      </w:r>
      <w:r>
        <w:rPr>
          <w:rFonts w:asciiTheme="minorEastAsia" w:hAnsiTheme="minorEastAsia" w:eastAsiaTheme="minorEastAsia"/>
          <w:sz w:val="21"/>
        </w:rPr>
        <w:t>具体</w:t>
      </w:r>
      <w:r>
        <w:rPr>
          <w:rFonts w:hint="eastAsia" w:asciiTheme="minorEastAsia" w:hAnsiTheme="minorEastAsia" w:eastAsiaTheme="minorEastAsia"/>
          <w:sz w:val="21"/>
        </w:rPr>
        <w:t>详见“响应</w:t>
      </w:r>
      <w:r>
        <w:rPr>
          <w:rFonts w:asciiTheme="minorEastAsia" w:hAnsiTheme="minorEastAsia" w:eastAsiaTheme="minorEastAsia"/>
          <w:sz w:val="21"/>
        </w:rPr>
        <w:t>文件承诺</w:t>
      </w:r>
      <w:r>
        <w:rPr>
          <w:rFonts w:hint="eastAsia" w:asciiTheme="minorEastAsia" w:hAnsiTheme="minorEastAsia" w:eastAsiaTheme="minorEastAsia"/>
          <w:sz w:val="21"/>
        </w:rPr>
        <w:t>”</w:t>
      </w:r>
      <w:r>
        <w:rPr>
          <w:rFonts w:asciiTheme="minorEastAsia" w:hAnsiTheme="minorEastAsia" w:eastAsiaTheme="minorEastAsia"/>
          <w:sz w:val="21"/>
        </w:rPr>
        <w:t>。</w:t>
      </w:r>
    </w:p>
    <w:p>
      <w:pPr>
        <w:pStyle w:val="27"/>
        <w:widowControl/>
        <w:spacing w:line="480" w:lineRule="exact"/>
        <w:ind w:firstLine="420" w:firstLineChars="200"/>
        <w:jc w:val="left"/>
        <w:rPr>
          <w:rFonts w:asciiTheme="minorEastAsia" w:hAnsiTheme="minorEastAsia" w:eastAsiaTheme="minorEastAsia"/>
          <w:sz w:val="21"/>
        </w:rPr>
      </w:pPr>
      <w:r>
        <w:rPr>
          <w:rFonts w:hint="eastAsia" w:asciiTheme="minorEastAsia" w:hAnsiTheme="minorEastAsia" w:eastAsiaTheme="minorEastAsia"/>
          <w:sz w:val="21"/>
        </w:rPr>
        <w:t>11.乙方供应的菜式要求每天菜系的菜品，</w:t>
      </w:r>
      <w:r>
        <w:rPr>
          <w:rFonts w:asciiTheme="minorEastAsia" w:hAnsiTheme="minorEastAsia" w:eastAsiaTheme="minorEastAsia"/>
          <w:sz w:val="21"/>
        </w:rPr>
        <w:t>具体</w:t>
      </w:r>
      <w:r>
        <w:rPr>
          <w:rFonts w:hint="eastAsia" w:asciiTheme="minorEastAsia" w:hAnsiTheme="minorEastAsia" w:eastAsiaTheme="minorEastAsia"/>
          <w:sz w:val="21"/>
        </w:rPr>
        <w:t>详见“响应</w:t>
      </w:r>
      <w:r>
        <w:rPr>
          <w:rFonts w:asciiTheme="minorEastAsia" w:hAnsiTheme="minorEastAsia" w:eastAsiaTheme="minorEastAsia"/>
          <w:sz w:val="21"/>
        </w:rPr>
        <w:t>文件承诺</w:t>
      </w:r>
      <w:r>
        <w:rPr>
          <w:rFonts w:hint="eastAsia" w:asciiTheme="minorEastAsia" w:hAnsiTheme="minorEastAsia" w:eastAsiaTheme="minorEastAsia"/>
          <w:sz w:val="21"/>
        </w:rPr>
        <w:t>”</w:t>
      </w:r>
      <w:r>
        <w:rPr>
          <w:rFonts w:asciiTheme="minorEastAsia" w:hAnsiTheme="minorEastAsia" w:eastAsiaTheme="minorEastAsia"/>
          <w:sz w:val="21"/>
        </w:rPr>
        <w:t>。</w:t>
      </w:r>
    </w:p>
    <w:p>
      <w:pPr>
        <w:pStyle w:val="27"/>
        <w:spacing w:line="480" w:lineRule="exact"/>
        <w:ind w:firstLine="420" w:firstLineChars="200"/>
        <w:rPr>
          <w:rFonts w:asciiTheme="minorEastAsia" w:hAnsiTheme="minorEastAsia" w:eastAsiaTheme="minorEastAsia"/>
          <w:sz w:val="21"/>
        </w:rPr>
      </w:pPr>
      <w:r>
        <w:rPr>
          <w:rFonts w:hint="eastAsia" w:asciiTheme="minorEastAsia" w:hAnsiTheme="minorEastAsia" w:eastAsiaTheme="minorEastAsia"/>
          <w:sz w:val="21"/>
        </w:rPr>
        <w:t>12.乙方负责所承包经营场地的日常清洁卫生工作。</w:t>
      </w:r>
    </w:p>
    <w:p>
      <w:pPr>
        <w:pStyle w:val="27"/>
        <w:spacing w:line="480" w:lineRule="exact"/>
        <w:ind w:firstLine="420" w:firstLineChars="200"/>
        <w:rPr>
          <w:rFonts w:asciiTheme="minorEastAsia" w:hAnsiTheme="minorEastAsia" w:eastAsiaTheme="minorEastAsia"/>
          <w:sz w:val="21"/>
        </w:rPr>
      </w:pPr>
      <w:r>
        <w:rPr>
          <w:rFonts w:hint="eastAsia" w:asciiTheme="minorEastAsia" w:hAnsiTheme="minorEastAsia" w:eastAsiaTheme="minorEastAsia"/>
          <w:sz w:val="21"/>
        </w:rPr>
        <w:t>13.乙方须建立完善的管理制度，包括但不仅限于卫生清洁管理制度、食品卫生及安全管理制度、应急预案等；负责做好食材及商品进货台账、留样记录、消毒等其他管理台账并接受甲方及食品卫生监督部门的监督检查。</w:t>
      </w:r>
    </w:p>
    <w:p>
      <w:pPr>
        <w:pStyle w:val="27"/>
        <w:spacing w:line="480" w:lineRule="exact"/>
        <w:ind w:firstLine="420" w:firstLineChars="200"/>
        <w:rPr>
          <w:rFonts w:hint="eastAsia" w:asciiTheme="minorEastAsia" w:hAnsiTheme="minorEastAsia" w:eastAsiaTheme="minorEastAsia"/>
          <w:sz w:val="21"/>
          <w:highlight w:val="none"/>
          <w:lang w:val="en-US" w:eastAsia="zh-CN"/>
        </w:rPr>
      </w:pPr>
      <w:r>
        <w:rPr>
          <w:rFonts w:hint="eastAsia" w:asciiTheme="minorEastAsia" w:hAnsiTheme="minorEastAsia" w:eastAsiaTheme="minorEastAsia"/>
          <w:sz w:val="21"/>
          <w:highlight w:val="none"/>
        </w:rPr>
        <w:t>1</w:t>
      </w:r>
      <w:r>
        <w:rPr>
          <w:rFonts w:hint="eastAsia" w:asciiTheme="minorEastAsia" w:hAnsiTheme="minorEastAsia" w:eastAsiaTheme="minorEastAsia"/>
          <w:sz w:val="21"/>
          <w:highlight w:val="none"/>
          <w:lang w:val="en-US" w:eastAsia="zh-CN"/>
        </w:rPr>
        <w:t>4</w:t>
      </w:r>
      <w:r>
        <w:rPr>
          <w:rFonts w:hint="eastAsia" w:asciiTheme="minorEastAsia" w:hAnsiTheme="minorEastAsia" w:eastAsiaTheme="minorEastAsia"/>
          <w:sz w:val="21"/>
          <w:highlight w:val="none"/>
        </w:rPr>
        <w:t>.乙方在合同期内不得将本项目转包</w:t>
      </w:r>
      <w:r>
        <w:rPr>
          <w:rFonts w:hint="eastAsia" w:asciiTheme="minorEastAsia" w:hAnsiTheme="minorEastAsia" w:eastAsiaTheme="minorEastAsia"/>
          <w:sz w:val="21"/>
          <w:highlight w:val="none"/>
          <w:lang w:val="en-US" w:eastAsia="zh-CN"/>
        </w:rPr>
        <w:t>经营。</w:t>
      </w:r>
    </w:p>
    <w:p>
      <w:pPr>
        <w:spacing w:line="48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lang w:val="en-US" w:eastAsia="zh-CN"/>
        </w:rPr>
        <w:t>九</w:t>
      </w:r>
      <w:r>
        <w:rPr>
          <w:rFonts w:hint="eastAsia" w:asciiTheme="minorEastAsia" w:hAnsiTheme="minorEastAsia" w:eastAsiaTheme="minorEastAsia"/>
          <w:b/>
          <w:szCs w:val="21"/>
        </w:rPr>
        <w:t>、退出机制</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1.因国家或自治区政策原因退出的，如甲方已收取乙方剩余未承包期限相应场地使用费的，则向已方无息返还多收取的部分。</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2.因某一方违约原因退出的，按本合同相关约定执行。</w:t>
      </w:r>
    </w:p>
    <w:p>
      <w:pPr>
        <w:spacing w:line="48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十、违约责任</w:t>
      </w:r>
    </w:p>
    <w:p>
      <w:pPr>
        <w:spacing w:line="480" w:lineRule="exact"/>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1.甲方有下列情形之下的，</w:t>
      </w:r>
      <w:r>
        <w:rPr>
          <w:rFonts w:hint="eastAsia" w:asciiTheme="minorEastAsia" w:hAnsiTheme="minorEastAsia" w:eastAsiaTheme="minorEastAsia"/>
          <w:bCs/>
          <w:szCs w:val="21"/>
        </w:rPr>
        <w:t>乙方</w:t>
      </w:r>
      <w:r>
        <w:rPr>
          <w:rFonts w:hint="eastAsia" w:asciiTheme="minorEastAsia" w:hAnsiTheme="minorEastAsia" w:eastAsiaTheme="minorEastAsia"/>
          <w:szCs w:val="21"/>
        </w:rPr>
        <w:t>有权单方解除合同，并要求甲方赔偿经济损失。</w:t>
      </w:r>
    </w:p>
    <w:p>
      <w:pPr>
        <w:spacing w:line="480" w:lineRule="exact"/>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（1）未按约定时间交付场地使用权达三十日的；</w:t>
      </w:r>
    </w:p>
    <w:p>
      <w:pPr>
        <w:spacing w:line="480" w:lineRule="exact"/>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（2）交付的房屋不符合合同约定情形并严重影响</w:t>
      </w:r>
      <w:r>
        <w:rPr>
          <w:rFonts w:hint="eastAsia" w:asciiTheme="minorEastAsia" w:hAnsiTheme="minorEastAsia" w:eastAsiaTheme="minorEastAsia"/>
          <w:bCs/>
          <w:szCs w:val="21"/>
        </w:rPr>
        <w:t>乙方</w:t>
      </w:r>
      <w:r>
        <w:rPr>
          <w:rFonts w:hint="eastAsia" w:asciiTheme="minorEastAsia" w:hAnsiTheme="minorEastAsia" w:eastAsiaTheme="minorEastAsia"/>
          <w:szCs w:val="21"/>
        </w:rPr>
        <w:t>使用的。</w:t>
      </w:r>
    </w:p>
    <w:p>
      <w:pPr>
        <w:spacing w:line="480" w:lineRule="exact"/>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2.乙方发生以下情形之一的，甲方有权解除合同，并没收</w:t>
      </w:r>
      <w:r>
        <w:rPr>
          <w:rFonts w:hint="eastAsia" w:asciiTheme="minorEastAsia" w:hAnsiTheme="minorEastAsia" w:eastAsiaTheme="minorEastAsia"/>
          <w:bCs/>
          <w:szCs w:val="21"/>
        </w:rPr>
        <w:t>乙方</w:t>
      </w:r>
      <w:r>
        <w:rPr>
          <w:rFonts w:hint="eastAsia" w:asciiTheme="minorEastAsia" w:hAnsiTheme="minorEastAsia" w:eastAsiaTheme="minorEastAsia"/>
          <w:szCs w:val="21"/>
        </w:rPr>
        <w:t>全部履约保证金。没收履约保证金不足以弥补损失的，超出部分乙方仍应当予以赔偿。</w:t>
      </w:r>
    </w:p>
    <w:p>
      <w:pPr>
        <w:spacing w:line="480" w:lineRule="exact"/>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（1）故意使用死病畜禽产品，或不合格肉类产品，经相关部门认定的；</w:t>
      </w:r>
    </w:p>
    <w:p>
      <w:pPr>
        <w:spacing w:line="480" w:lineRule="exact"/>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（2）服务期间连续三次达不到考核标准，或在整改期限内没有得到改善的；</w:t>
      </w:r>
    </w:p>
    <w:p>
      <w:pPr>
        <w:spacing w:line="480" w:lineRule="exact"/>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（3）被食品药品监督管理部门处以警告及以上处罚累积达到两次的；</w:t>
      </w:r>
    </w:p>
    <w:p>
      <w:pPr>
        <w:spacing w:line="480" w:lineRule="exact"/>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（4）未经甲方书面同意，擅自出租、转让、转签、分包给第三方经营，经甲方劝阻仍不改正的；</w:t>
      </w:r>
    </w:p>
    <w:p>
      <w:pPr>
        <w:spacing w:line="480" w:lineRule="exact"/>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（5）未经甲方书面同意，擅自停止经营的；</w:t>
      </w:r>
    </w:p>
    <w:p>
      <w:pPr>
        <w:spacing w:line="480" w:lineRule="exact"/>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（6）发生经相关部门认定的群体性食物中毒的；</w:t>
      </w:r>
    </w:p>
    <w:p>
      <w:pPr>
        <w:spacing w:line="480" w:lineRule="exact"/>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（7）发生群体事件、劳动用工纠纷，造成恶劣影响的；</w:t>
      </w:r>
    </w:p>
    <w:p>
      <w:pPr>
        <w:spacing w:line="480" w:lineRule="exact"/>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（8）疏于安全生产管理，发生伤亡事故的；</w:t>
      </w:r>
    </w:p>
    <w:p>
      <w:pPr>
        <w:spacing w:line="480" w:lineRule="exact"/>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（9）因违反相关法律、法规，造成严重后果的；</w:t>
      </w:r>
    </w:p>
    <w:p>
      <w:pPr>
        <w:spacing w:line="480" w:lineRule="exact"/>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（10）</w:t>
      </w:r>
      <w:r>
        <w:rPr>
          <w:rFonts w:hint="eastAsia" w:asciiTheme="minorEastAsia" w:hAnsiTheme="minorEastAsia" w:eastAsiaTheme="minorEastAsia"/>
          <w:bCs/>
          <w:szCs w:val="21"/>
        </w:rPr>
        <w:t>乙方</w:t>
      </w:r>
      <w:r>
        <w:rPr>
          <w:rFonts w:hint="eastAsia" w:asciiTheme="minorEastAsia" w:hAnsiTheme="minorEastAsia" w:eastAsiaTheme="minorEastAsia"/>
          <w:szCs w:val="21"/>
        </w:rPr>
        <w:t>在经营期间，发生重大火灾、爆炸事故的；</w:t>
      </w:r>
    </w:p>
    <w:p>
      <w:pPr>
        <w:spacing w:line="48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）除合同另有约定外，乙方出现其它违约情形且拒不整改的。</w:t>
      </w:r>
    </w:p>
    <w:p>
      <w:pPr>
        <w:spacing w:line="480" w:lineRule="exact"/>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3.因不可抗拒的因素，如自然灾害、战争、暴乱等以及国家政策调整原因导致不能履行本合同，双方互不承担责任，造成的所有损失，双方各自承担。</w:t>
      </w:r>
    </w:p>
    <w:p>
      <w:pPr>
        <w:spacing w:line="480" w:lineRule="exact"/>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bCs/>
          <w:szCs w:val="21"/>
        </w:rPr>
        <w:t xml:space="preserve"> 乙方</w:t>
      </w:r>
      <w:r>
        <w:rPr>
          <w:rFonts w:hint="eastAsia" w:asciiTheme="minorEastAsia" w:hAnsiTheme="minorEastAsia" w:eastAsiaTheme="minorEastAsia"/>
          <w:szCs w:val="21"/>
        </w:rPr>
        <w:t>履行了《食品安全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pPr>
        <w:spacing w:line="480" w:lineRule="exact"/>
        <w:ind w:firstLine="424" w:firstLineChars="202"/>
        <w:rPr>
          <w:rFonts w:asciiTheme="minorEastAsia" w:hAnsiTheme="minorEastAsia" w:eastAsiaTheme="minorEastAsia"/>
          <w:b/>
          <w:szCs w:val="21"/>
        </w:rPr>
      </w:pPr>
      <w:r>
        <w:rPr>
          <w:rFonts w:hint="eastAsia" w:asciiTheme="minorEastAsia" w:hAnsiTheme="minorEastAsia" w:eastAsiaTheme="minorEastAsia"/>
          <w:szCs w:val="21"/>
        </w:rPr>
        <w:t>5.合同期满后，如果甲方就本项目安排重新招标，</w:t>
      </w:r>
      <w:r>
        <w:rPr>
          <w:rFonts w:hint="eastAsia" w:asciiTheme="minorEastAsia" w:hAnsiTheme="minorEastAsia" w:eastAsiaTheme="minorEastAsia"/>
          <w:bCs/>
          <w:szCs w:val="21"/>
        </w:rPr>
        <w:t>乙方</w:t>
      </w:r>
      <w:r>
        <w:rPr>
          <w:rFonts w:hint="eastAsia" w:asciiTheme="minorEastAsia" w:hAnsiTheme="minorEastAsia" w:eastAsiaTheme="minorEastAsia"/>
          <w:szCs w:val="21"/>
        </w:rPr>
        <w:t>应服从甲方的安排，按照重新竞标的流程进行招投标活动。</w:t>
      </w:r>
    </w:p>
    <w:p>
      <w:pPr>
        <w:spacing w:line="48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十</w:t>
      </w:r>
      <w:r>
        <w:rPr>
          <w:rFonts w:hint="eastAsia" w:asciiTheme="minorEastAsia" w:hAnsiTheme="minorEastAsia" w:eastAsiaTheme="minorEastAsia"/>
          <w:b/>
          <w:szCs w:val="21"/>
          <w:lang w:val="en-US" w:eastAsia="zh-CN"/>
        </w:rPr>
        <w:t>一</w:t>
      </w:r>
      <w:r>
        <w:rPr>
          <w:rFonts w:hint="eastAsia" w:asciiTheme="minorEastAsia" w:hAnsiTheme="minorEastAsia" w:eastAsiaTheme="minorEastAsia"/>
          <w:b/>
          <w:szCs w:val="21"/>
        </w:rPr>
        <w:t>、送达条款</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1.甲乙双方在本合同中注明的通讯地址为双方往来信函等文件的送达地址。</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2.一方可以当面送交、邮寄、快递等方式向对方送达文件，对方应当予以签收。若对方不予以签收的，以邮寄或快递方式送达的，自交邮或交快递公司之日起五日后视为已送达。</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3.若一方变更地址，应当及时以书面形式通知对方，否则，自行承担由此导致的法律责任。</w:t>
      </w:r>
    </w:p>
    <w:p>
      <w:pPr>
        <w:spacing w:line="48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十</w:t>
      </w:r>
      <w:r>
        <w:rPr>
          <w:rFonts w:hint="eastAsia" w:asciiTheme="minorEastAsia" w:hAnsiTheme="minorEastAsia" w:eastAsiaTheme="minorEastAsia"/>
          <w:b/>
          <w:szCs w:val="21"/>
          <w:lang w:val="en-US" w:eastAsia="zh-CN"/>
        </w:rPr>
        <w:t>二</w:t>
      </w:r>
      <w:r>
        <w:rPr>
          <w:rFonts w:hint="eastAsia" w:asciiTheme="minorEastAsia" w:hAnsiTheme="minorEastAsia" w:eastAsiaTheme="minorEastAsia"/>
          <w:b/>
          <w:szCs w:val="21"/>
        </w:rPr>
        <w:t>、争议的解决</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1.若本合同在履行过程中发生争议，由双方协商解决；协商不成的，双方均可向甲方所在地人民法院提起诉讼。</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2.若双方因履行本合同而产生诉讼的，违约方应当承担守约方为诉讼而支出的所有费用，包括但不限于诉讼费、律师费、交通费、差旅费、鉴定费、调查费、保全费、保全保险费等。</w:t>
      </w:r>
    </w:p>
    <w:p>
      <w:pPr>
        <w:spacing w:line="48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十</w:t>
      </w:r>
      <w:r>
        <w:rPr>
          <w:rFonts w:hint="eastAsia" w:asciiTheme="minorEastAsia" w:hAnsiTheme="minorEastAsia" w:eastAsiaTheme="minorEastAsia"/>
          <w:b/>
          <w:szCs w:val="21"/>
          <w:lang w:val="en-US" w:eastAsia="zh-CN"/>
        </w:rPr>
        <w:t>三</w:t>
      </w:r>
      <w:r>
        <w:rPr>
          <w:rFonts w:hint="eastAsia" w:asciiTheme="minorEastAsia" w:hAnsiTheme="minorEastAsia" w:eastAsiaTheme="minorEastAsia"/>
          <w:b/>
          <w:szCs w:val="21"/>
        </w:rPr>
        <w:t>、 签订本合同依据</w:t>
      </w:r>
    </w:p>
    <w:p>
      <w:pPr>
        <w:snapToGrid w:val="0"/>
        <w:spacing w:line="48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1.</w:t>
      </w:r>
      <w:r>
        <w:rPr>
          <w:rFonts w:hint="eastAsia" w:cs="仿宋" w:asciiTheme="minorEastAsia" w:hAnsiTheme="minorEastAsia" w:eastAsiaTheme="minorEastAsia"/>
          <w:szCs w:val="21"/>
        </w:rPr>
        <w:t>竞争性磋商文件；</w:t>
      </w:r>
    </w:p>
    <w:p>
      <w:pPr>
        <w:snapToGrid w:val="0"/>
        <w:spacing w:line="48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乙方提供的竞标（或应答）文件；</w:t>
      </w:r>
    </w:p>
    <w:p>
      <w:pPr>
        <w:spacing w:line="48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w:t>
      </w:r>
      <w:r>
        <w:rPr>
          <w:rFonts w:cs="仿宋" w:asciiTheme="minorEastAsia" w:hAnsiTheme="minorEastAsia" w:eastAsiaTheme="minorEastAsia"/>
          <w:szCs w:val="21"/>
        </w:rPr>
        <w:t>.</w:t>
      </w:r>
      <w:r>
        <w:rPr>
          <w:rFonts w:hint="eastAsia" w:cs="仿宋" w:asciiTheme="minorEastAsia" w:hAnsiTheme="minorEastAsia" w:eastAsiaTheme="minorEastAsia"/>
          <w:szCs w:val="21"/>
        </w:rPr>
        <w:t>成交通知书。</w:t>
      </w:r>
    </w:p>
    <w:p>
      <w:pPr>
        <w:spacing w:line="480" w:lineRule="exact"/>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w:t>4.上述文件内容同时作为本合同的附件供双方遵守。</w:t>
      </w:r>
    </w:p>
    <w:p>
      <w:pPr>
        <w:spacing w:line="48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十</w:t>
      </w:r>
      <w:r>
        <w:rPr>
          <w:rFonts w:hint="eastAsia" w:asciiTheme="minorEastAsia" w:hAnsiTheme="minorEastAsia" w:eastAsiaTheme="minorEastAsia"/>
          <w:b/>
          <w:szCs w:val="21"/>
          <w:lang w:val="en-US" w:eastAsia="zh-CN"/>
        </w:rPr>
        <w:t>四</w:t>
      </w:r>
      <w:r>
        <w:rPr>
          <w:rFonts w:hint="eastAsia" w:asciiTheme="minorEastAsia" w:hAnsiTheme="minorEastAsia" w:eastAsiaTheme="minorEastAsia"/>
          <w:b/>
          <w:szCs w:val="21"/>
        </w:rPr>
        <w:t>、附则</w:t>
      </w:r>
    </w:p>
    <w:p>
      <w:pPr>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本合同一式</w:t>
      </w:r>
      <w:r>
        <w:rPr>
          <w:rFonts w:hint="default" w:asciiTheme="minorEastAsia" w:hAnsiTheme="minorEastAsia" w:eastAsiaTheme="minorEastAsia"/>
          <w:szCs w:val="21"/>
        </w:rPr>
        <w:t>伍</w:t>
      </w:r>
      <w:r>
        <w:rPr>
          <w:rFonts w:hint="eastAsia" w:asciiTheme="minorEastAsia" w:hAnsiTheme="minorEastAsia" w:eastAsiaTheme="minorEastAsia"/>
          <w:szCs w:val="21"/>
        </w:rPr>
        <w:t>份，甲方执</w:t>
      </w:r>
      <w:r>
        <w:rPr>
          <w:rFonts w:hint="eastAsia" w:asciiTheme="minorEastAsia" w:hAnsiTheme="minorEastAsia" w:eastAsiaTheme="minorEastAsia"/>
          <w:szCs w:val="21"/>
          <w:lang w:val="en-US" w:eastAsia="zh-CN"/>
        </w:rPr>
        <w:t>叄</w:t>
      </w:r>
      <w:r>
        <w:rPr>
          <w:rFonts w:hint="eastAsia" w:asciiTheme="minorEastAsia" w:hAnsiTheme="minorEastAsia" w:eastAsiaTheme="minorEastAsia"/>
          <w:szCs w:val="21"/>
        </w:rPr>
        <w:t>份，乙方执贰份</w:t>
      </w:r>
      <w:r>
        <w:rPr>
          <w:rFonts w:hint="eastAsia" w:asciiTheme="minorEastAsia" w:hAnsiTheme="minorEastAsia" w:eastAsiaTheme="minorEastAsia"/>
          <w:snapToGrid w:val="0"/>
          <w:kern w:val="0"/>
          <w:szCs w:val="21"/>
        </w:rPr>
        <w:t>，（可根据需要另增加）</w:t>
      </w:r>
      <w:r>
        <w:rPr>
          <w:rFonts w:hint="eastAsia" w:asciiTheme="minorEastAsia" w:hAnsiTheme="minorEastAsia" w:eastAsiaTheme="minorEastAsia"/>
          <w:szCs w:val="21"/>
        </w:rPr>
        <w:t>，自双方法定代表人或委托代理人签字并盖公章之日起生效。</w:t>
      </w:r>
    </w:p>
    <w:p>
      <w:pPr>
        <w:rPr>
          <w:rFonts w:asciiTheme="minorEastAsia" w:hAnsiTheme="minorEastAsia" w:eastAsiaTheme="minorEastAsia"/>
          <w:szCs w:val="21"/>
        </w:rPr>
      </w:pPr>
    </w:p>
    <w:tbl>
      <w:tblPr>
        <w:tblStyle w:val="51"/>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甲方（章）           </w:t>
            </w:r>
          </w:p>
          <w:p>
            <w:pPr>
              <w:snapToGrid w:val="0"/>
              <w:spacing w:line="400" w:lineRule="exact"/>
              <w:rPr>
                <w:rFonts w:asciiTheme="minorEastAsia" w:hAnsiTheme="minorEastAsia" w:eastAsiaTheme="minorEastAsia"/>
                <w:szCs w:val="21"/>
              </w:rPr>
            </w:pPr>
          </w:p>
          <w:p>
            <w:pPr>
              <w:snapToGrid w:val="0"/>
              <w:spacing w:line="400" w:lineRule="exact"/>
              <w:ind w:firstLine="945" w:firstLineChars="450"/>
              <w:jc w:val="right"/>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4517" w:type="dxa"/>
            <w:tcBorders>
              <w:top w:val="single" w:color="auto" w:sz="4" w:space="0"/>
              <w:left w:val="nil"/>
              <w:bottom w:val="single" w:color="auto" w:sz="4" w:space="0"/>
              <w:right w:val="single" w:color="auto" w:sz="4" w:space="0"/>
            </w:tcBorders>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乙方（章）              </w:t>
            </w:r>
          </w:p>
          <w:p>
            <w:pPr>
              <w:snapToGrid w:val="0"/>
              <w:spacing w:line="400" w:lineRule="exact"/>
              <w:rPr>
                <w:rFonts w:asciiTheme="minorEastAsia" w:hAnsiTheme="minorEastAsia" w:eastAsiaTheme="minorEastAsia"/>
                <w:szCs w:val="21"/>
              </w:rPr>
            </w:pPr>
          </w:p>
          <w:p>
            <w:pPr>
              <w:snapToGrid w:val="0"/>
              <w:spacing w:line="400" w:lineRule="exact"/>
              <w:jc w:val="right"/>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单位地址：</w:t>
            </w:r>
          </w:p>
        </w:tc>
        <w:tc>
          <w:tcPr>
            <w:tcW w:w="4517" w:type="dxa"/>
            <w:tcBorders>
              <w:top w:val="single" w:color="auto" w:sz="4" w:space="0"/>
              <w:left w:val="nil"/>
              <w:bottom w:val="single" w:color="auto" w:sz="4" w:space="0"/>
              <w:right w:val="single" w:color="auto" w:sz="4" w:space="0"/>
            </w:tcBorders>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4517" w:type="dxa"/>
            <w:tcBorders>
              <w:top w:val="single" w:color="auto" w:sz="4" w:space="0"/>
              <w:left w:val="nil"/>
              <w:bottom w:val="single" w:color="auto" w:sz="4" w:space="0"/>
              <w:right w:val="single" w:color="auto" w:sz="4" w:space="0"/>
            </w:tcBorders>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委托代理人：</w:t>
            </w:r>
          </w:p>
        </w:tc>
        <w:tc>
          <w:tcPr>
            <w:tcW w:w="4517" w:type="dxa"/>
            <w:tcBorders>
              <w:top w:val="single" w:color="auto" w:sz="4" w:space="0"/>
              <w:left w:val="nil"/>
              <w:bottom w:val="single" w:color="auto" w:sz="4" w:space="0"/>
              <w:right w:val="single" w:color="auto" w:sz="4" w:space="0"/>
            </w:tcBorders>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电话：</w:t>
            </w:r>
          </w:p>
        </w:tc>
        <w:tc>
          <w:tcPr>
            <w:tcW w:w="4517" w:type="dxa"/>
            <w:tcBorders>
              <w:top w:val="single" w:color="auto" w:sz="4" w:space="0"/>
              <w:left w:val="nil"/>
              <w:bottom w:val="single" w:color="auto" w:sz="4" w:space="0"/>
              <w:right w:val="single" w:color="auto" w:sz="4" w:space="0"/>
            </w:tcBorders>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4517" w:type="dxa"/>
            <w:tcBorders>
              <w:top w:val="single" w:color="auto" w:sz="4" w:space="0"/>
              <w:left w:val="nil"/>
              <w:bottom w:val="single" w:color="auto" w:sz="4" w:space="0"/>
              <w:right w:val="single" w:color="auto" w:sz="4" w:space="0"/>
            </w:tcBorders>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开户银行：</w:t>
            </w:r>
          </w:p>
        </w:tc>
        <w:tc>
          <w:tcPr>
            <w:tcW w:w="4517" w:type="dxa"/>
            <w:tcBorders>
              <w:top w:val="single" w:color="auto" w:sz="4" w:space="0"/>
              <w:left w:val="nil"/>
              <w:bottom w:val="single" w:color="auto" w:sz="4" w:space="0"/>
              <w:right w:val="single" w:color="auto" w:sz="4" w:space="0"/>
            </w:tcBorders>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账号：</w:t>
            </w:r>
          </w:p>
        </w:tc>
        <w:tc>
          <w:tcPr>
            <w:tcW w:w="4517" w:type="dxa"/>
            <w:tcBorders>
              <w:top w:val="single" w:color="auto" w:sz="4" w:space="0"/>
              <w:left w:val="nil"/>
              <w:bottom w:val="single" w:color="auto" w:sz="4" w:space="0"/>
              <w:right w:val="single" w:color="auto" w:sz="4" w:space="0"/>
            </w:tcBorders>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邮政编码：</w:t>
            </w:r>
          </w:p>
        </w:tc>
        <w:tc>
          <w:tcPr>
            <w:tcW w:w="4517" w:type="dxa"/>
            <w:tcBorders>
              <w:top w:val="single" w:color="auto" w:sz="4" w:space="0"/>
              <w:left w:val="nil"/>
              <w:bottom w:val="single" w:color="auto" w:sz="4" w:space="0"/>
              <w:right w:val="single" w:color="auto" w:sz="4" w:space="0"/>
            </w:tcBorders>
            <w:vAlign w:val="center"/>
          </w:tcPr>
          <w:p>
            <w:pPr>
              <w:snapToGrid w:val="0"/>
              <w:spacing w:line="320" w:lineRule="exact"/>
              <w:rPr>
                <w:rFonts w:asciiTheme="minorEastAsia" w:hAnsiTheme="minorEastAsia" w:eastAsiaTheme="minorEastAsia"/>
                <w:szCs w:val="21"/>
              </w:rPr>
            </w:pPr>
            <w:r>
              <w:rPr>
                <w:rFonts w:hint="eastAsia" w:asciiTheme="minorEastAsia" w:hAnsiTheme="minorEastAsia" w:eastAsiaTheme="minorEastAsia"/>
                <w:szCs w:val="21"/>
              </w:rPr>
              <w:t>邮政编码：</w:t>
            </w:r>
          </w:p>
        </w:tc>
      </w:tr>
    </w:tbl>
    <w:p>
      <w:pPr>
        <w:rPr>
          <w:rFonts w:cs="宋体" w:asciiTheme="minorEastAsia" w:hAnsiTheme="minorEastAsia" w:eastAsiaTheme="minorEastAsia"/>
          <w:b/>
          <w:szCs w:val="21"/>
        </w:rPr>
      </w:pPr>
    </w:p>
    <w:sectPr>
      <w:headerReference r:id="rId6" w:type="first"/>
      <w:headerReference r:id="rId5" w:type="default"/>
      <w:pgSz w:w="11906" w:h="16838"/>
      <w:pgMar w:top="1440" w:right="1646"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rebuchet MS">
    <w:panose1 w:val="020B0603020202020204"/>
    <w:charset w:val="00"/>
    <w:family w:val="swiss"/>
    <w:pitch w:val="default"/>
    <w:sig w:usb0="000006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5"/>
      </w:rPr>
    </w:pPr>
    <w:r>
      <w:fldChar w:fldCharType="begin"/>
    </w:r>
    <w:r>
      <w:rPr>
        <w:rStyle w:val="55"/>
      </w:rPr>
      <w:instrText xml:space="preserve">PAGE  </w:instrText>
    </w:r>
    <w:r>
      <w:fldChar w:fldCharType="separate"/>
    </w:r>
    <w:r>
      <w:rPr>
        <w:rStyle w:val="55"/>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3"/>
      </w:pBdr>
      <w:ind w:left="850" w:hanging="849" w:hangingChars="472"/>
      <w:jc w:val="left"/>
      <w:rPr>
        <w:rFonts w:ascii="宋体" w:hAnsi="宋体"/>
      </w:rPr>
    </w:pPr>
    <w:r>
      <w:rPr>
        <w:rFonts w:hint="eastAsia" w:ascii="宋体" w:hAnsi="宋体"/>
      </w:rPr>
      <w:t>项目名称：</w:t>
    </w:r>
    <w:r>
      <w:rPr>
        <w:rFonts w:hint="eastAsia" w:ascii="宋体" w:hAnsi="宋体"/>
        <w:color w:val="000000"/>
        <w:szCs w:val="21"/>
      </w:rPr>
      <w:t>校园</w:t>
    </w:r>
    <w:r>
      <w:rPr>
        <w:rFonts w:ascii="宋体" w:hAnsi="宋体"/>
        <w:color w:val="000000"/>
        <w:szCs w:val="21"/>
      </w:rPr>
      <w:t>菜鸟驿站服务采购</w:t>
    </w:r>
    <w:r>
      <w:rPr>
        <w:rFonts w:hint="eastAsia" w:ascii="宋体" w:hAnsi="宋体"/>
        <w:color w:val="000000"/>
        <w:szCs w:val="21"/>
      </w:rPr>
      <w:t xml:space="preserve">         项目编号：</w:t>
    </w:r>
    <w:r>
      <w:rPr>
        <w:rFonts w:ascii="宋体" w:hAnsi="宋体"/>
        <w:color w:val="000000"/>
        <w:szCs w:val="21"/>
      </w:rPr>
      <w:t>GXYLC20214031-N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3"/>
      </w:pBdr>
      <w:ind w:left="850" w:hanging="849" w:hangingChars="472"/>
      <w:jc w:val="both"/>
      <w:rPr>
        <w:rFonts w:ascii="宋体" w:hAnsi="宋体"/>
      </w:rPr>
    </w:pPr>
    <w:r>
      <w:rPr>
        <w:rFonts w:hint="eastAsia" w:ascii="宋体" w:hAnsi="宋体"/>
      </w:rPr>
      <w:t>项目名称：会展大厦三楼食堂对外经营管理采购</w:t>
    </w:r>
    <w:r>
      <w:rPr>
        <w:rFonts w:hint="eastAsia" w:ascii="宋体" w:hAnsi="宋体"/>
        <w:color w:val="000000" w:themeColor="text1"/>
        <w:szCs w:val="21"/>
        <w14:textFill>
          <w14:solidFill>
            <w14:schemeClr w14:val="tx1"/>
          </w14:soli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8F044"/>
    <w:multiLevelType w:val="singleLevel"/>
    <w:tmpl w:val="BD68F044"/>
    <w:lvl w:ilvl="0" w:tentative="0">
      <w:start w:val="1"/>
      <w:numFmt w:val="decimalEnclosedCircleChinese"/>
      <w:suff w:val="nothing"/>
      <w:lvlText w:val="%1　"/>
      <w:lvlJc w:val="left"/>
      <w:pPr>
        <w:ind w:left="0" w:firstLine="400"/>
      </w:pPr>
      <w:rPr>
        <w:rFonts w:hint="eastAsia"/>
      </w:rPr>
    </w:lvl>
  </w:abstractNum>
  <w:abstractNum w:abstractNumId="1">
    <w:nsid w:val="FFEA94F4"/>
    <w:multiLevelType w:val="singleLevel"/>
    <w:tmpl w:val="FFEA94F4"/>
    <w:lvl w:ilvl="0" w:tentative="0">
      <w:start w:val="1"/>
      <w:numFmt w:val="decimal"/>
      <w:lvlText w:val="%1."/>
      <w:lvlJc w:val="left"/>
      <w:pPr>
        <w:tabs>
          <w:tab w:val="left" w:pos="312"/>
        </w:tabs>
      </w:pPr>
    </w:lvl>
  </w:abstractNum>
  <w:abstractNum w:abstractNumId="2">
    <w:nsid w:val="2BD48B6A"/>
    <w:multiLevelType w:val="singleLevel"/>
    <w:tmpl w:val="2BD48B6A"/>
    <w:lvl w:ilvl="0" w:tentative="0">
      <w:start w:val="1"/>
      <w:numFmt w:val="decimalEnclosedCircleChinese"/>
      <w:suff w:val="nothing"/>
      <w:lvlText w:val="%1　"/>
      <w:lvlJc w:val="left"/>
      <w:pPr>
        <w:ind w:left="0" w:firstLine="4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D02"/>
    <w:rsid w:val="000020CF"/>
    <w:rsid w:val="00002C4F"/>
    <w:rsid w:val="00003BA6"/>
    <w:rsid w:val="00005A61"/>
    <w:rsid w:val="00010B1D"/>
    <w:rsid w:val="00011567"/>
    <w:rsid w:val="00012304"/>
    <w:rsid w:val="00014843"/>
    <w:rsid w:val="00015255"/>
    <w:rsid w:val="0003011D"/>
    <w:rsid w:val="00030841"/>
    <w:rsid w:val="00031153"/>
    <w:rsid w:val="00034744"/>
    <w:rsid w:val="0003534D"/>
    <w:rsid w:val="00040CB1"/>
    <w:rsid w:val="00040EC7"/>
    <w:rsid w:val="000410F1"/>
    <w:rsid w:val="00044871"/>
    <w:rsid w:val="000451A8"/>
    <w:rsid w:val="00045EA2"/>
    <w:rsid w:val="0004636E"/>
    <w:rsid w:val="00046C7D"/>
    <w:rsid w:val="00052FCA"/>
    <w:rsid w:val="00053AC8"/>
    <w:rsid w:val="00054B60"/>
    <w:rsid w:val="00056531"/>
    <w:rsid w:val="00065D40"/>
    <w:rsid w:val="00066F98"/>
    <w:rsid w:val="00067933"/>
    <w:rsid w:val="00067F76"/>
    <w:rsid w:val="0007004B"/>
    <w:rsid w:val="00071D44"/>
    <w:rsid w:val="00072929"/>
    <w:rsid w:val="00076925"/>
    <w:rsid w:val="0007721F"/>
    <w:rsid w:val="000775AB"/>
    <w:rsid w:val="00077809"/>
    <w:rsid w:val="00077CE9"/>
    <w:rsid w:val="00077F97"/>
    <w:rsid w:val="00084008"/>
    <w:rsid w:val="00084186"/>
    <w:rsid w:val="00084F4D"/>
    <w:rsid w:val="00091A20"/>
    <w:rsid w:val="00091B12"/>
    <w:rsid w:val="00094AE4"/>
    <w:rsid w:val="00096B41"/>
    <w:rsid w:val="000A048D"/>
    <w:rsid w:val="000A1784"/>
    <w:rsid w:val="000A5460"/>
    <w:rsid w:val="000B157B"/>
    <w:rsid w:val="000B1F33"/>
    <w:rsid w:val="000B214D"/>
    <w:rsid w:val="000B34CF"/>
    <w:rsid w:val="000B362D"/>
    <w:rsid w:val="000B7D99"/>
    <w:rsid w:val="000C059D"/>
    <w:rsid w:val="000C1367"/>
    <w:rsid w:val="000C32B3"/>
    <w:rsid w:val="000C32D2"/>
    <w:rsid w:val="000C4F27"/>
    <w:rsid w:val="000C6F14"/>
    <w:rsid w:val="000C75E1"/>
    <w:rsid w:val="000C7D95"/>
    <w:rsid w:val="000D4292"/>
    <w:rsid w:val="000D4FA6"/>
    <w:rsid w:val="000D57C8"/>
    <w:rsid w:val="000D5FF4"/>
    <w:rsid w:val="000D63B2"/>
    <w:rsid w:val="000E024F"/>
    <w:rsid w:val="000E29EC"/>
    <w:rsid w:val="000E41DB"/>
    <w:rsid w:val="000E4443"/>
    <w:rsid w:val="000E561D"/>
    <w:rsid w:val="000E5B74"/>
    <w:rsid w:val="000F0459"/>
    <w:rsid w:val="000F154B"/>
    <w:rsid w:val="000F161E"/>
    <w:rsid w:val="000F4D39"/>
    <w:rsid w:val="000F68DE"/>
    <w:rsid w:val="000F6E96"/>
    <w:rsid w:val="00102EDB"/>
    <w:rsid w:val="001035B5"/>
    <w:rsid w:val="00105094"/>
    <w:rsid w:val="00105F0F"/>
    <w:rsid w:val="00106090"/>
    <w:rsid w:val="001064C1"/>
    <w:rsid w:val="001068A7"/>
    <w:rsid w:val="00110EF1"/>
    <w:rsid w:val="00110F9A"/>
    <w:rsid w:val="00111D77"/>
    <w:rsid w:val="00112196"/>
    <w:rsid w:val="00112636"/>
    <w:rsid w:val="00114273"/>
    <w:rsid w:val="001156E5"/>
    <w:rsid w:val="001162B3"/>
    <w:rsid w:val="00116787"/>
    <w:rsid w:val="00117F55"/>
    <w:rsid w:val="00122D24"/>
    <w:rsid w:val="00123674"/>
    <w:rsid w:val="00123E82"/>
    <w:rsid w:val="001260CD"/>
    <w:rsid w:val="0012717D"/>
    <w:rsid w:val="0012791B"/>
    <w:rsid w:val="00130736"/>
    <w:rsid w:val="001328BF"/>
    <w:rsid w:val="001337D4"/>
    <w:rsid w:val="00133B61"/>
    <w:rsid w:val="00133C8F"/>
    <w:rsid w:val="00136362"/>
    <w:rsid w:val="00136404"/>
    <w:rsid w:val="00140385"/>
    <w:rsid w:val="001405A5"/>
    <w:rsid w:val="001420A1"/>
    <w:rsid w:val="001454C7"/>
    <w:rsid w:val="00145B0F"/>
    <w:rsid w:val="0014655E"/>
    <w:rsid w:val="00150847"/>
    <w:rsid w:val="00151771"/>
    <w:rsid w:val="001534D1"/>
    <w:rsid w:val="00154507"/>
    <w:rsid w:val="001554CC"/>
    <w:rsid w:val="0015550F"/>
    <w:rsid w:val="0015746A"/>
    <w:rsid w:val="00160577"/>
    <w:rsid w:val="00160669"/>
    <w:rsid w:val="00160AB4"/>
    <w:rsid w:val="001610BE"/>
    <w:rsid w:val="00161EF6"/>
    <w:rsid w:val="00163281"/>
    <w:rsid w:val="00164627"/>
    <w:rsid w:val="00164E84"/>
    <w:rsid w:val="00172F28"/>
    <w:rsid w:val="00175781"/>
    <w:rsid w:val="00177657"/>
    <w:rsid w:val="00183EA7"/>
    <w:rsid w:val="00184187"/>
    <w:rsid w:val="0018538D"/>
    <w:rsid w:val="00187335"/>
    <w:rsid w:val="00191628"/>
    <w:rsid w:val="00191B3E"/>
    <w:rsid w:val="00193515"/>
    <w:rsid w:val="00196AE1"/>
    <w:rsid w:val="001A2567"/>
    <w:rsid w:val="001A29ED"/>
    <w:rsid w:val="001A2F43"/>
    <w:rsid w:val="001B5440"/>
    <w:rsid w:val="001B5B28"/>
    <w:rsid w:val="001B5D06"/>
    <w:rsid w:val="001C15F2"/>
    <w:rsid w:val="001C1BE6"/>
    <w:rsid w:val="001C3810"/>
    <w:rsid w:val="001C3FEC"/>
    <w:rsid w:val="001D1EEB"/>
    <w:rsid w:val="001D3A40"/>
    <w:rsid w:val="001D58A8"/>
    <w:rsid w:val="001D693D"/>
    <w:rsid w:val="001E0F34"/>
    <w:rsid w:val="001E1872"/>
    <w:rsid w:val="001E27F2"/>
    <w:rsid w:val="001E65A8"/>
    <w:rsid w:val="001F0196"/>
    <w:rsid w:val="001F0ECE"/>
    <w:rsid w:val="001F2161"/>
    <w:rsid w:val="001F2927"/>
    <w:rsid w:val="001F2EE1"/>
    <w:rsid w:val="001F636E"/>
    <w:rsid w:val="001F7405"/>
    <w:rsid w:val="00201C60"/>
    <w:rsid w:val="002066AA"/>
    <w:rsid w:val="002112A8"/>
    <w:rsid w:val="0021192C"/>
    <w:rsid w:val="00214108"/>
    <w:rsid w:val="002155EC"/>
    <w:rsid w:val="00220580"/>
    <w:rsid w:val="00222AA1"/>
    <w:rsid w:val="00223453"/>
    <w:rsid w:val="002240F6"/>
    <w:rsid w:val="00224123"/>
    <w:rsid w:val="00233708"/>
    <w:rsid w:val="00235355"/>
    <w:rsid w:val="002378B7"/>
    <w:rsid w:val="0024395C"/>
    <w:rsid w:val="00245F1D"/>
    <w:rsid w:val="002463A7"/>
    <w:rsid w:val="00246801"/>
    <w:rsid w:val="002535E5"/>
    <w:rsid w:val="002545B8"/>
    <w:rsid w:val="002600C9"/>
    <w:rsid w:val="00262880"/>
    <w:rsid w:val="0027120C"/>
    <w:rsid w:val="0027471A"/>
    <w:rsid w:val="002829AA"/>
    <w:rsid w:val="00285AE0"/>
    <w:rsid w:val="002862C1"/>
    <w:rsid w:val="00287D75"/>
    <w:rsid w:val="0029171D"/>
    <w:rsid w:val="00292DB0"/>
    <w:rsid w:val="00293ADE"/>
    <w:rsid w:val="00296F0A"/>
    <w:rsid w:val="002A15A0"/>
    <w:rsid w:val="002A1C6C"/>
    <w:rsid w:val="002A2665"/>
    <w:rsid w:val="002A42E3"/>
    <w:rsid w:val="002A6034"/>
    <w:rsid w:val="002A63ED"/>
    <w:rsid w:val="002A6DA0"/>
    <w:rsid w:val="002A78CF"/>
    <w:rsid w:val="002B2DDD"/>
    <w:rsid w:val="002B7A87"/>
    <w:rsid w:val="002C1811"/>
    <w:rsid w:val="002C2031"/>
    <w:rsid w:val="002C232A"/>
    <w:rsid w:val="002C356D"/>
    <w:rsid w:val="002C77CF"/>
    <w:rsid w:val="002C7E58"/>
    <w:rsid w:val="002D18DA"/>
    <w:rsid w:val="002D1D2F"/>
    <w:rsid w:val="002D1E65"/>
    <w:rsid w:val="002D33A6"/>
    <w:rsid w:val="002D79DA"/>
    <w:rsid w:val="002E0243"/>
    <w:rsid w:val="002E116D"/>
    <w:rsid w:val="002E1F9E"/>
    <w:rsid w:val="002E2718"/>
    <w:rsid w:val="002E64D0"/>
    <w:rsid w:val="002E654B"/>
    <w:rsid w:val="002E6935"/>
    <w:rsid w:val="002E7520"/>
    <w:rsid w:val="002F0C91"/>
    <w:rsid w:val="002F3BEC"/>
    <w:rsid w:val="002F6164"/>
    <w:rsid w:val="002F732D"/>
    <w:rsid w:val="00300B77"/>
    <w:rsid w:val="0030361C"/>
    <w:rsid w:val="00306FCD"/>
    <w:rsid w:val="00307F2E"/>
    <w:rsid w:val="003108A0"/>
    <w:rsid w:val="00311C9F"/>
    <w:rsid w:val="003130DC"/>
    <w:rsid w:val="0031447B"/>
    <w:rsid w:val="00314894"/>
    <w:rsid w:val="00315A0B"/>
    <w:rsid w:val="00320A00"/>
    <w:rsid w:val="003215A8"/>
    <w:rsid w:val="00323BE0"/>
    <w:rsid w:val="00323D0E"/>
    <w:rsid w:val="0032695F"/>
    <w:rsid w:val="003320A3"/>
    <w:rsid w:val="0033224A"/>
    <w:rsid w:val="003336FB"/>
    <w:rsid w:val="003370CE"/>
    <w:rsid w:val="00341AAD"/>
    <w:rsid w:val="00346B43"/>
    <w:rsid w:val="00346F96"/>
    <w:rsid w:val="00350224"/>
    <w:rsid w:val="003519CB"/>
    <w:rsid w:val="00352242"/>
    <w:rsid w:val="003529D3"/>
    <w:rsid w:val="003556BC"/>
    <w:rsid w:val="00355780"/>
    <w:rsid w:val="003630D1"/>
    <w:rsid w:val="00363FFE"/>
    <w:rsid w:val="0037564B"/>
    <w:rsid w:val="003760DA"/>
    <w:rsid w:val="00376C38"/>
    <w:rsid w:val="00380F42"/>
    <w:rsid w:val="0038639E"/>
    <w:rsid w:val="00390DA5"/>
    <w:rsid w:val="00390E15"/>
    <w:rsid w:val="003930E1"/>
    <w:rsid w:val="0039371B"/>
    <w:rsid w:val="00394149"/>
    <w:rsid w:val="00395D0B"/>
    <w:rsid w:val="003A3BC4"/>
    <w:rsid w:val="003B206E"/>
    <w:rsid w:val="003B562C"/>
    <w:rsid w:val="003C04CD"/>
    <w:rsid w:val="003C190A"/>
    <w:rsid w:val="003C7021"/>
    <w:rsid w:val="003D1099"/>
    <w:rsid w:val="003D65EB"/>
    <w:rsid w:val="003E02CE"/>
    <w:rsid w:val="003E1FCC"/>
    <w:rsid w:val="003E5203"/>
    <w:rsid w:val="003E5514"/>
    <w:rsid w:val="003E5D61"/>
    <w:rsid w:val="003E7445"/>
    <w:rsid w:val="003F220C"/>
    <w:rsid w:val="003F3615"/>
    <w:rsid w:val="003F7EFB"/>
    <w:rsid w:val="00401108"/>
    <w:rsid w:val="00401856"/>
    <w:rsid w:val="00402929"/>
    <w:rsid w:val="00403D62"/>
    <w:rsid w:val="00404F8A"/>
    <w:rsid w:val="004072CE"/>
    <w:rsid w:val="004121AD"/>
    <w:rsid w:val="00413019"/>
    <w:rsid w:val="00416016"/>
    <w:rsid w:val="00421285"/>
    <w:rsid w:val="00421D81"/>
    <w:rsid w:val="004225F0"/>
    <w:rsid w:val="00424C59"/>
    <w:rsid w:val="00425285"/>
    <w:rsid w:val="0042543B"/>
    <w:rsid w:val="004258A1"/>
    <w:rsid w:val="0042792D"/>
    <w:rsid w:val="00430222"/>
    <w:rsid w:val="00432EAD"/>
    <w:rsid w:val="0043575C"/>
    <w:rsid w:val="0043616A"/>
    <w:rsid w:val="004361CB"/>
    <w:rsid w:val="0043689B"/>
    <w:rsid w:val="004370D5"/>
    <w:rsid w:val="00437777"/>
    <w:rsid w:val="0044155F"/>
    <w:rsid w:val="00443AD3"/>
    <w:rsid w:val="004448C5"/>
    <w:rsid w:val="00445A88"/>
    <w:rsid w:val="00450762"/>
    <w:rsid w:val="00450EEF"/>
    <w:rsid w:val="0045260D"/>
    <w:rsid w:val="0045307D"/>
    <w:rsid w:val="004547E6"/>
    <w:rsid w:val="00455D04"/>
    <w:rsid w:val="00457A6E"/>
    <w:rsid w:val="0046066A"/>
    <w:rsid w:val="00461139"/>
    <w:rsid w:val="00464137"/>
    <w:rsid w:val="00464400"/>
    <w:rsid w:val="00464A41"/>
    <w:rsid w:val="00467AE7"/>
    <w:rsid w:val="00470488"/>
    <w:rsid w:val="004712F3"/>
    <w:rsid w:val="004726F6"/>
    <w:rsid w:val="0047498B"/>
    <w:rsid w:val="004753A2"/>
    <w:rsid w:val="004766D5"/>
    <w:rsid w:val="004830EE"/>
    <w:rsid w:val="0048389B"/>
    <w:rsid w:val="00487684"/>
    <w:rsid w:val="0049257D"/>
    <w:rsid w:val="00495DED"/>
    <w:rsid w:val="00495E73"/>
    <w:rsid w:val="00497B6F"/>
    <w:rsid w:val="004A26F9"/>
    <w:rsid w:val="004A32BA"/>
    <w:rsid w:val="004A4B27"/>
    <w:rsid w:val="004A567C"/>
    <w:rsid w:val="004A6411"/>
    <w:rsid w:val="004B10C9"/>
    <w:rsid w:val="004B1AF3"/>
    <w:rsid w:val="004B3824"/>
    <w:rsid w:val="004B44A6"/>
    <w:rsid w:val="004B4582"/>
    <w:rsid w:val="004B4639"/>
    <w:rsid w:val="004C1D56"/>
    <w:rsid w:val="004C209C"/>
    <w:rsid w:val="004C4154"/>
    <w:rsid w:val="004C5D8B"/>
    <w:rsid w:val="004C6F20"/>
    <w:rsid w:val="004C7490"/>
    <w:rsid w:val="004D0783"/>
    <w:rsid w:val="004D0BF5"/>
    <w:rsid w:val="004D2EDA"/>
    <w:rsid w:val="004D5287"/>
    <w:rsid w:val="004D584D"/>
    <w:rsid w:val="004D7DE2"/>
    <w:rsid w:val="004D7E1D"/>
    <w:rsid w:val="004E0DB0"/>
    <w:rsid w:val="004E15FC"/>
    <w:rsid w:val="004E20D0"/>
    <w:rsid w:val="004E293F"/>
    <w:rsid w:val="004E2F49"/>
    <w:rsid w:val="004E3700"/>
    <w:rsid w:val="004E44B3"/>
    <w:rsid w:val="004E6BB9"/>
    <w:rsid w:val="004E74B9"/>
    <w:rsid w:val="004F064A"/>
    <w:rsid w:val="004F328D"/>
    <w:rsid w:val="004F5555"/>
    <w:rsid w:val="005001F4"/>
    <w:rsid w:val="005051B6"/>
    <w:rsid w:val="00505E5F"/>
    <w:rsid w:val="005079C0"/>
    <w:rsid w:val="00512CB9"/>
    <w:rsid w:val="00516FB8"/>
    <w:rsid w:val="00517B30"/>
    <w:rsid w:val="005208AA"/>
    <w:rsid w:val="00526431"/>
    <w:rsid w:val="005269E6"/>
    <w:rsid w:val="00527083"/>
    <w:rsid w:val="005302F6"/>
    <w:rsid w:val="00530C26"/>
    <w:rsid w:val="005316A9"/>
    <w:rsid w:val="0053262F"/>
    <w:rsid w:val="00533D22"/>
    <w:rsid w:val="00540D92"/>
    <w:rsid w:val="00541337"/>
    <w:rsid w:val="005427C9"/>
    <w:rsid w:val="00543C60"/>
    <w:rsid w:val="00545EB5"/>
    <w:rsid w:val="005475E6"/>
    <w:rsid w:val="005514CD"/>
    <w:rsid w:val="00554713"/>
    <w:rsid w:val="0055539F"/>
    <w:rsid w:val="00556CFE"/>
    <w:rsid w:val="0056215B"/>
    <w:rsid w:val="005669A5"/>
    <w:rsid w:val="00572A11"/>
    <w:rsid w:val="0057356F"/>
    <w:rsid w:val="00574002"/>
    <w:rsid w:val="00574B9A"/>
    <w:rsid w:val="00581241"/>
    <w:rsid w:val="0058153C"/>
    <w:rsid w:val="00581728"/>
    <w:rsid w:val="00582EFD"/>
    <w:rsid w:val="005833E2"/>
    <w:rsid w:val="00583CD9"/>
    <w:rsid w:val="0058562D"/>
    <w:rsid w:val="00585BE4"/>
    <w:rsid w:val="0058643A"/>
    <w:rsid w:val="00586FFA"/>
    <w:rsid w:val="00587790"/>
    <w:rsid w:val="00590DD8"/>
    <w:rsid w:val="005929D3"/>
    <w:rsid w:val="00593AF0"/>
    <w:rsid w:val="0059577E"/>
    <w:rsid w:val="00597F66"/>
    <w:rsid w:val="005B169B"/>
    <w:rsid w:val="005B1A8F"/>
    <w:rsid w:val="005B6591"/>
    <w:rsid w:val="005C1C20"/>
    <w:rsid w:val="005D77DB"/>
    <w:rsid w:val="005D7CF8"/>
    <w:rsid w:val="005E1180"/>
    <w:rsid w:val="005E30EB"/>
    <w:rsid w:val="005E3586"/>
    <w:rsid w:val="005E412F"/>
    <w:rsid w:val="005F1250"/>
    <w:rsid w:val="005F22F3"/>
    <w:rsid w:val="005F4B21"/>
    <w:rsid w:val="005F5B85"/>
    <w:rsid w:val="00602F2E"/>
    <w:rsid w:val="00602F6C"/>
    <w:rsid w:val="00603508"/>
    <w:rsid w:val="0060480B"/>
    <w:rsid w:val="00605544"/>
    <w:rsid w:val="006118CE"/>
    <w:rsid w:val="00613A7A"/>
    <w:rsid w:val="00614A77"/>
    <w:rsid w:val="00617DD8"/>
    <w:rsid w:val="0062064B"/>
    <w:rsid w:val="00620A6A"/>
    <w:rsid w:val="0062326E"/>
    <w:rsid w:val="00625BAD"/>
    <w:rsid w:val="00626BA5"/>
    <w:rsid w:val="00626D70"/>
    <w:rsid w:val="00633CB2"/>
    <w:rsid w:val="00637E52"/>
    <w:rsid w:val="00641D69"/>
    <w:rsid w:val="006421CC"/>
    <w:rsid w:val="00643C3B"/>
    <w:rsid w:val="00645D15"/>
    <w:rsid w:val="00645D9E"/>
    <w:rsid w:val="00650DBA"/>
    <w:rsid w:val="00655011"/>
    <w:rsid w:val="00656D40"/>
    <w:rsid w:val="00662510"/>
    <w:rsid w:val="00662AB5"/>
    <w:rsid w:val="00663132"/>
    <w:rsid w:val="006644A0"/>
    <w:rsid w:val="006659FA"/>
    <w:rsid w:val="00665CC5"/>
    <w:rsid w:val="00670C50"/>
    <w:rsid w:val="0067314A"/>
    <w:rsid w:val="00673218"/>
    <w:rsid w:val="006733E6"/>
    <w:rsid w:val="00674396"/>
    <w:rsid w:val="00676AE8"/>
    <w:rsid w:val="00676F2D"/>
    <w:rsid w:val="00676F6F"/>
    <w:rsid w:val="00680061"/>
    <w:rsid w:val="00680406"/>
    <w:rsid w:val="006840A5"/>
    <w:rsid w:val="00685337"/>
    <w:rsid w:val="00686A5E"/>
    <w:rsid w:val="00690FB2"/>
    <w:rsid w:val="00691B99"/>
    <w:rsid w:val="00691FD3"/>
    <w:rsid w:val="00697417"/>
    <w:rsid w:val="006A31B6"/>
    <w:rsid w:val="006A4E5E"/>
    <w:rsid w:val="006A4F9A"/>
    <w:rsid w:val="006A620E"/>
    <w:rsid w:val="006A6288"/>
    <w:rsid w:val="006A7891"/>
    <w:rsid w:val="006B30D6"/>
    <w:rsid w:val="006B3EE8"/>
    <w:rsid w:val="006B5B5F"/>
    <w:rsid w:val="006B60E5"/>
    <w:rsid w:val="006C0051"/>
    <w:rsid w:val="006C0143"/>
    <w:rsid w:val="006C21CA"/>
    <w:rsid w:val="006C3775"/>
    <w:rsid w:val="006C3DB0"/>
    <w:rsid w:val="006C4889"/>
    <w:rsid w:val="006C62C8"/>
    <w:rsid w:val="006C7E73"/>
    <w:rsid w:val="006D0440"/>
    <w:rsid w:val="006D0E40"/>
    <w:rsid w:val="006D1B8E"/>
    <w:rsid w:val="006D3DBC"/>
    <w:rsid w:val="006D5989"/>
    <w:rsid w:val="006D76E7"/>
    <w:rsid w:val="006E1621"/>
    <w:rsid w:val="006E22DE"/>
    <w:rsid w:val="006E44A5"/>
    <w:rsid w:val="006E6153"/>
    <w:rsid w:val="006F138D"/>
    <w:rsid w:val="006F19F2"/>
    <w:rsid w:val="006F3076"/>
    <w:rsid w:val="006F6805"/>
    <w:rsid w:val="00700050"/>
    <w:rsid w:val="00700D92"/>
    <w:rsid w:val="00702873"/>
    <w:rsid w:val="007034D9"/>
    <w:rsid w:val="0070352D"/>
    <w:rsid w:val="0070624C"/>
    <w:rsid w:val="007064FD"/>
    <w:rsid w:val="0070711B"/>
    <w:rsid w:val="00707A9D"/>
    <w:rsid w:val="00707CE3"/>
    <w:rsid w:val="00711046"/>
    <w:rsid w:val="007116F2"/>
    <w:rsid w:val="0071372C"/>
    <w:rsid w:val="007138D4"/>
    <w:rsid w:val="0071662D"/>
    <w:rsid w:val="00716ADD"/>
    <w:rsid w:val="00725339"/>
    <w:rsid w:val="0073054E"/>
    <w:rsid w:val="00730894"/>
    <w:rsid w:val="00730CB8"/>
    <w:rsid w:val="0073154D"/>
    <w:rsid w:val="00732C5F"/>
    <w:rsid w:val="00733F13"/>
    <w:rsid w:val="00740400"/>
    <w:rsid w:val="00741A07"/>
    <w:rsid w:val="00743DDA"/>
    <w:rsid w:val="00746CF2"/>
    <w:rsid w:val="007502BA"/>
    <w:rsid w:val="00750B9E"/>
    <w:rsid w:val="00754010"/>
    <w:rsid w:val="00754779"/>
    <w:rsid w:val="00761173"/>
    <w:rsid w:val="0076445E"/>
    <w:rsid w:val="007651C3"/>
    <w:rsid w:val="00766852"/>
    <w:rsid w:val="00766FF3"/>
    <w:rsid w:val="00776460"/>
    <w:rsid w:val="00780CCE"/>
    <w:rsid w:val="007820FF"/>
    <w:rsid w:val="00785ECA"/>
    <w:rsid w:val="007870AB"/>
    <w:rsid w:val="00787D61"/>
    <w:rsid w:val="0079399C"/>
    <w:rsid w:val="007956A7"/>
    <w:rsid w:val="007A2737"/>
    <w:rsid w:val="007A2968"/>
    <w:rsid w:val="007A391C"/>
    <w:rsid w:val="007A4BD2"/>
    <w:rsid w:val="007A7678"/>
    <w:rsid w:val="007B6E15"/>
    <w:rsid w:val="007C005F"/>
    <w:rsid w:val="007C1543"/>
    <w:rsid w:val="007C3472"/>
    <w:rsid w:val="007C509D"/>
    <w:rsid w:val="007C5332"/>
    <w:rsid w:val="007D0887"/>
    <w:rsid w:val="007D601E"/>
    <w:rsid w:val="007D6A5E"/>
    <w:rsid w:val="007D7B2B"/>
    <w:rsid w:val="007E0158"/>
    <w:rsid w:val="007E2644"/>
    <w:rsid w:val="007E4E8B"/>
    <w:rsid w:val="007E551A"/>
    <w:rsid w:val="007F04ED"/>
    <w:rsid w:val="007F18D2"/>
    <w:rsid w:val="007F30CC"/>
    <w:rsid w:val="007F5E0D"/>
    <w:rsid w:val="007F5F61"/>
    <w:rsid w:val="007F68EC"/>
    <w:rsid w:val="007F6B54"/>
    <w:rsid w:val="00800A85"/>
    <w:rsid w:val="008013AF"/>
    <w:rsid w:val="008031F3"/>
    <w:rsid w:val="00803EA6"/>
    <w:rsid w:val="00810918"/>
    <w:rsid w:val="00811F4B"/>
    <w:rsid w:val="0081325F"/>
    <w:rsid w:val="008137E0"/>
    <w:rsid w:val="00816C96"/>
    <w:rsid w:val="008217D7"/>
    <w:rsid w:val="00821E2F"/>
    <w:rsid w:val="00821ECD"/>
    <w:rsid w:val="00822316"/>
    <w:rsid w:val="008231CA"/>
    <w:rsid w:val="00824680"/>
    <w:rsid w:val="008340BB"/>
    <w:rsid w:val="00834CE9"/>
    <w:rsid w:val="0084162D"/>
    <w:rsid w:val="00841664"/>
    <w:rsid w:val="0084193C"/>
    <w:rsid w:val="0084361E"/>
    <w:rsid w:val="0084524C"/>
    <w:rsid w:val="0084566C"/>
    <w:rsid w:val="00845A53"/>
    <w:rsid w:val="00846621"/>
    <w:rsid w:val="008466F2"/>
    <w:rsid w:val="0084685D"/>
    <w:rsid w:val="0084685F"/>
    <w:rsid w:val="00846B62"/>
    <w:rsid w:val="00850FA1"/>
    <w:rsid w:val="008512F1"/>
    <w:rsid w:val="008519B7"/>
    <w:rsid w:val="00861564"/>
    <w:rsid w:val="00867372"/>
    <w:rsid w:val="00872708"/>
    <w:rsid w:val="00872A11"/>
    <w:rsid w:val="00873405"/>
    <w:rsid w:val="008737B7"/>
    <w:rsid w:val="00873BC0"/>
    <w:rsid w:val="00874B73"/>
    <w:rsid w:val="00875FB6"/>
    <w:rsid w:val="0087624B"/>
    <w:rsid w:val="008769E1"/>
    <w:rsid w:val="008769E5"/>
    <w:rsid w:val="0087711F"/>
    <w:rsid w:val="00877BAD"/>
    <w:rsid w:val="00881A6E"/>
    <w:rsid w:val="00885B82"/>
    <w:rsid w:val="0088651E"/>
    <w:rsid w:val="00890465"/>
    <w:rsid w:val="00891D05"/>
    <w:rsid w:val="00893971"/>
    <w:rsid w:val="00895F0B"/>
    <w:rsid w:val="008A1E09"/>
    <w:rsid w:val="008A2C92"/>
    <w:rsid w:val="008A4764"/>
    <w:rsid w:val="008A4B23"/>
    <w:rsid w:val="008A5AD7"/>
    <w:rsid w:val="008B09AC"/>
    <w:rsid w:val="008B0E0F"/>
    <w:rsid w:val="008B1AAE"/>
    <w:rsid w:val="008B1CD3"/>
    <w:rsid w:val="008B6E6B"/>
    <w:rsid w:val="008B70D7"/>
    <w:rsid w:val="008B7ECE"/>
    <w:rsid w:val="008C08F9"/>
    <w:rsid w:val="008C26F9"/>
    <w:rsid w:val="008C28EA"/>
    <w:rsid w:val="008C3FCE"/>
    <w:rsid w:val="008C6EC9"/>
    <w:rsid w:val="008D15E9"/>
    <w:rsid w:val="008D1EF0"/>
    <w:rsid w:val="008D4530"/>
    <w:rsid w:val="008D6B74"/>
    <w:rsid w:val="008E19D1"/>
    <w:rsid w:val="008E38C3"/>
    <w:rsid w:val="008F0AB8"/>
    <w:rsid w:val="008F10DF"/>
    <w:rsid w:val="008F70CE"/>
    <w:rsid w:val="008F73BF"/>
    <w:rsid w:val="008F7C4D"/>
    <w:rsid w:val="00901567"/>
    <w:rsid w:val="00903306"/>
    <w:rsid w:val="00904352"/>
    <w:rsid w:val="00907DE0"/>
    <w:rsid w:val="00914B8D"/>
    <w:rsid w:val="009156EB"/>
    <w:rsid w:val="009256C0"/>
    <w:rsid w:val="0092705A"/>
    <w:rsid w:val="00927429"/>
    <w:rsid w:val="0093269E"/>
    <w:rsid w:val="009327F5"/>
    <w:rsid w:val="00934186"/>
    <w:rsid w:val="009349A0"/>
    <w:rsid w:val="00934B35"/>
    <w:rsid w:val="00935FFF"/>
    <w:rsid w:val="00937806"/>
    <w:rsid w:val="009416A8"/>
    <w:rsid w:val="00942146"/>
    <w:rsid w:val="0094326C"/>
    <w:rsid w:val="0094360B"/>
    <w:rsid w:val="00943782"/>
    <w:rsid w:val="009450BD"/>
    <w:rsid w:val="00945D9E"/>
    <w:rsid w:val="009475A8"/>
    <w:rsid w:val="0095046D"/>
    <w:rsid w:val="009531BE"/>
    <w:rsid w:val="00955554"/>
    <w:rsid w:val="0095558D"/>
    <w:rsid w:val="00955774"/>
    <w:rsid w:val="00955957"/>
    <w:rsid w:val="00956E26"/>
    <w:rsid w:val="00960542"/>
    <w:rsid w:val="00961A39"/>
    <w:rsid w:val="00963F24"/>
    <w:rsid w:val="00965DB0"/>
    <w:rsid w:val="00965E3F"/>
    <w:rsid w:val="00970727"/>
    <w:rsid w:val="009707DE"/>
    <w:rsid w:val="0097327C"/>
    <w:rsid w:val="0097457B"/>
    <w:rsid w:val="00976F92"/>
    <w:rsid w:val="00980E8F"/>
    <w:rsid w:val="00981DF6"/>
    <w:rsid w:val="00982694"/>
    <w:rsid w:val="009827D5"/>
    <w:rsid w:val="0098326E"/>
    <w:rsid w:val="00983600"/>
    <w:rsid w:val="00983C51"/>
    <w:rsid w:val="00985181"/>
    <w:rsid w:val="00992088"/>
    <w:rsid w:val="00992CF9"/>
    <w:rsid w:val="00994235"/>
    <w:rsid w:val="0099471C"/>
    <w:rsid w:val="0099537B"/>
    <w:rsid w:val="009B00EB"/>
    <w:rsid w:val="009B0E62"/>
    <w:rsid w:val="009B156C"/>
    <w:rsid w:val="009B3BB0"/>
    <w:rsid w:val="009B43F3"/>
    <w:rsid w:val="009B5F5C"/>
    <w:rsid w:val="009B6A88"/>
    <w:rsid w:val="009B6C9E"/>
    <w:rsid w:val="009C0528"/>
    <w:rsid w:val="009C7BC5"/>
    <w:rsid w:val="009D0A5E"/>
    <w:rsid w:val="009D6547"/>
    <w:rsid w:val="009D6C36"/>
    <w:rsid w:val="009E147C"/>
    <w:rsid w:val="009E1A71"/>
    <w:rsid w:val="009E3280"/>
    <w:rsid w:val="009E4F93"/>
    <w:rsid w:val="009F3E19"/>
    <w:rsid w:val="009F5327"/>
    <w:rsid w:val="00A03604"/>
    <w:rsid w:val="00A0520E"/>
    <w:rsid w:val="00A0576E"/>
    <w:rsid w:val="00A059A4"/>
    <w:rsid w:val="00A132A2"/>
    <w:rsid w:val="00A13610"/>
    <w:rsid w:val="00A13AC3"/>
    <w:rsid w:val="00A13F7B"/>
    <w:rsid w:val="00A14395"/>
    <w:rsid w:val="00A20910"/>
    <w:rsid w:val="00A21ABC"/>
    <w:rsid w:val="00A246BD"/>
    <w:rsid w:val="00A25A32"/>
    <w:rsid w:val="00A25B3D"/>
    <w:rsid w:val="00A31C21"/>
    <w:rsid w:val="00A33BF7"/>
    <w:rsid w:val="00A34F33"/>
    <w:rsid w:val="00A41BCF"/>
    <w:rsid w:val="00A445E1"/>
    <w:rsid w:val="00A45654"/>
    <w:rsid w:val="00A47803"/>
    <w:rsid w:val="00A47ABA"/>
    <w:rsid w:val="00A523A8"/>
    <w:rsid w:val="00A52CAE"/>
    <w:rsid w:val="00A537DC"/>
    <w:rsid w:val="00A55BA7"/>
    <w:rsid w:val="00A5752B"/>
    <w:rsid w:val="00A60945"/>
    <w:rsid w:val="00A61101"/>
    <w:rsid w:val="00A61E70"/>
    <w:rsid w:val="00A66E3F"/>
    <w:rsid w:val="00A67CB2"/>
    <w:rsid w:val="00A72BBD"/>
    <w:rsid w:val="00A73903"/>
    <w:rsid w:val="00A743FB"/>
    <w:rsid w:val="00A74FF4"/>
    <w:rsid w:val="00A83275"/>
    <w:rsid w:val="00A8390C"/>
    <w:rsid w:val="00A84DD2"/>
    <w:rsid w:val="00A84DD4"/>
    <w:rsid w:val="00A90CA9"/>
    <w:rsid w:val="00A95912"/>
    <w:rsid w:val="00A962AF"/>
    <w:rsid w:val="00A9774D"/>
    <w:rsid w:val="00A97FB6"/>
    <w:rsid w:val="00AA0EB8"/>
    <w:rsid w:val="00AA12E9"/>
    <w:rsid w:val="00AA13ED"/>
    <w:rsid w:val="00AA3B04"/>
    <w:rsid w:val="00AA5A9B"/>
    <w:rsid w:val="00AA67A3"/>
    <w:rsid w:val="00AA6F7A"/>
    <w:rsid w:val="00AB03D6"/>
    <w:rsid w:val="00AB2D14"/>
    <w:rsid w:val="00AB42A7"/>
    <w:rsid w:val="00AB6187"/>
    <w:rsid w:val="00AB693F"/>
    <w:rsid w:val="00AC6124"/>
    <w:rsid w:val="00AD0E47"/>
    <w:rsid w:val="00AD3DA7"/>
    <w:rsid w:val="00AD479D"/>
    <w:rsid w:val="00AD4CC0"/>
    <w:rsid w:val="00AD5CC4"/>
    <w:rsid w:val="00AD65F0"/>
    <w:rsid w:val="00AD6BB1"/>
    <w:rsid w:val="00AE0CFE"/>
    <w:rsid w:val="00AE3ECA"/>
    <w:rsid w:val="00AE4AEA"/>
    <w:rsid w:val="00AE5022"/>
    <w:rsid w:val="00AE7B96"/>
    <w:rsid w:val="00AF1957"/>
    <w:rsid w:val="00AF2BB1"/>
    <w:rsid w:val="00AF5741"/>
    <w:rsid w:val="00AF7CCA"/>
    <w:rsid w:val="00B008E6"/>
    <w:rsid w:val="00B0447B"/>
    <w:rsid w:val="00B06DD6"/>
    <w:rsid w:val="00B2190F"/>
    <w:rsid w:val="00B24E6F"/>
    <w:rsid w:val="00B269CB"/>
    <w:rsid w:val="00B305F1"/>
    <w:rsid w:val="00B32B88"/>
    <w:rsid w:val="00B33030"/>
    <w:rsid w:val="00B33F72"/>
    <w:rsid w:val="00B3554C"/>
    <w:rsid w:val="00B42F53"/>
    <w:rsid w:val="00B4746D"/>
    <w:rsid w:val="00B527BD"/>
    <w:rsid w:val="00B55D65"/>
    <w:rsid w:val="00B56C7F"/>
    <w:rsid w:val="00B61247"/>
    <w:rsid w:val="00B64432"/>
    <w:rsid w:val="00B647FE"/>
    <w:rsid w:val="00B64F46"/>
    <w:rsid w:val="00B650A4"/>
    <w:rsid w:val="00B661A3"/>
    <w:rsid w:val="00B67723"/>
    <w:rsid w:val="00B709E1"/>
    <w:rsid w:val="00B73638"/>
    <w:rsid w:val="00B74EA9"/>
    <w:rsid w:val="00B75272"/>
    <w:rsid w:val="00B77E14"/>
    <w:rsid w:val="00B815B4"/>
    <w:rsid w:val="00B83B90"/>
    <w:rsid w:val="00B83E1F"/>
    <w:rsid w:val="00B8744F"/>
    <w:rsid w:val="00B9057C"/>
    <w:rsid w:val="00B920DE"/>
    <w:rsid w:val="00B9518D"/>
    <w:rsid w:val="00BA1257"/>
    <w:rsid w:val="00BA2002"/>
    <w:rsid w:val="00BA2E67"/>
    <w:rsid w:val="00BA36AC"/>
    <w:rsid w:val="00BA3ABA"/>
    <w:rsid w:val="00BA6F46"/>
    <w:rsid w:val="00BB601C"/>
    <w:rsid w:val="00BB61B1"/>
    <w:rsid w:val="00BD19C5"/>
    <w:rsid w:val="00BD218F"/>
    <w:rsid w:val="00BD249B"/>
    <w:rsid w:val="00BD2A77"/>
    <w:rsid w:val="00BE03AF"/>
    <w:rsid w:val="00BE2876"/>
    <w:rsid w:val="00BE2F90"/>
    <w:rsid w:val="00BE5E92"/>
    <w:rsid w:val="00BF0896"/>
    <w:rsid w:val="00BF0D4B"/>
    <w:rsid w:val="00BF1371"/>
    <w:rsid w:val="00BF3800"/>
    <w:rsid w:val="00BF4C00"/>
    <w:rsid w:val="00BF67A3"/>
    <w:rsid w:val="00C01C4A"/>
    <w:rsid w:val="00C041D1"/>
    <w:rsid w:val="00C04A0E"/>
    <w:rsid w:val="00C051A8"/>
    <w:rsid w:val="00C11CDE"/>
    <w:rsid w:val="00C134FF"/>
    <w:rsid w:val="00C13844"/>
    <w:rsid w:val="00C14C19"/>
    <w:rsid w:val="00C204C0"/>
    <w:rsid w:val="00C20614"/>
    <w:rsid w:val="00C31EB7"/>
    <w:rsid w:val="00C3391D"/>
    <w:rsid w:val="00C37D6F"/>
    <w:rsid w:val="00C44EB9"/>
    <w:rsid w:val="00C46029"/>
    <w:rsid w:val="00C5094E"/>
    <w:rsid w:val="00C530BD"/>
    <w:rsid w:val="00C539BC"/>
    <w:rsid w:val="00C53A8A"/>
    <w:rsid w:val="00C60DDD"/>
    <w:rsid w:val="00C6307F"/>
    <w:rsid w:val="00C7236E"/>
    <w:rsid w:val="00C72BF6"/>
    <w:rsid w:val="00C73839"/>
    <w:rsid w:val="00C74BF7"/>
    <w:rsid w:val="00C75EA9"/>
    <w:rsid w:val="00C76956"/>
    <w:rsid w:val="00C77AF3"/>
    <w:rsid w:val="00C80528"/>
    <w:rsid w:val="00C843A6"/>
    <w:rsid w:val="00C8560E"/>
    <w:rsid w:val="00C92DEC"/>
    <w:rsid w:val="00C96D4A"/>
    <w:rsid w:val="00CA49C8"/>
    <w:rsid w:val="00CA50D5"/>
    <w:rsid w:val="00CB04C3"/>
    <w:rsid w:val="00CB0F6E"/>
    <w:rsid w:val="00CB2BE8"/>
    <w:rsid w:val="00CB51AA"/>
    <w:rsid w:val="00CC194E"/>
    <w:rsid w:val="00CC25BB"/>
    <w:rsid w:val="00CC39DB"/>
    <w:rsid w:val="00CC5901"/>
    <w:rsid w:val="00CD2D2E"/>
    <w:rsid w:val="00CD36B4"/>
    <w:rsid w:val="00CD6527"/>
    <w:rsid w:val="00CD68F0"/>
    <w:rsid w:val="00CD6944"/>
    <w:rsid w:val="00CE02C9"/>
    <w:rsid w:val="00CE0C9E"/>
    <w:rsid w:val="00CE2F88"/>
    <w:rsid w:val="00CE40BB"/>
    <w:rsid w:val="00CF0142"/>
    <w:rsid w:val="00CF02D2"/>
    <w:rsid w:val="00CF42E0"/>
    <w:rsid w:val="00CF4DBA"/>
    <w:rsid w:val="00CF5067"/>
    <w:rsid w:val="00D00E37"/>
    <w:rsid w:val="00D01089"/>
    <w:rsid w:val="00D018DD"/>
    <w:rsid w:val="00D0201B"/>
    <w:rsid w:val="00D02D6D"/>
    <w:rsid w:val="00D03882"/>
    <w:rsid w:val="00D03F22"/>
    <w:rsid w:val="00D0798D"/>
    <w:rsid w:val="00D10E7A"/>
    <w:rsid w:val="00D113C1"/>
    <w:rsid w:val="00D14338"/>
    <w:rsid w:val="00D173D1"/>
    <w:rsid w:val="00D26849"/>
    <w:rsid w:val="00D31CCC"/>
    <w:rsid w:val="00D33515"/>
    <w:rsid w:val="00D36AE5"/>
    <w:rsid w:val="00D36F9C"/>
    <w:rsid w:val="00D37629"/>
    <w:rsid w:val="00D37815"/>
    <w:rsid w:val="00D408D1"/>
    <w:rsid w:val="00D418E8"/>
    <w:rsid w:val="00D438CC"/>
    <w:rsid w:val="00D438F5"/>
    <w:rsid w:val="00D454CC"/>
    <w:rsid w:val="00D45A7B"/>
    <w:rsid w:val="00D4724A"/>
    <w:rsid w:val="00D55A39"/>
    <w:rsid w:val="00D56AB5"/>
    <w:rsid w:val="00D60A57"/>
    <w:rsid w:val="00D60AF4"/>
    <w:rsid w:val="00D60EC8"/>
    <w:rsid w:val="00D63A50"/>
    <w:rsid w:val="00D6408C"/>
    <w:rsid w:val="00D646A3"/>
    <w:rsid w:val="00D65BF8"/>
    <w:rsid w:val="00D7148E"/>
    <w:rsid w:val="00D73777"/>
    <w:rsid w:val="00D73DE4"/>
    <w:rsid w:val="00D74557"/>
    <w:rsid w:val="00D755F3"/>
    <w:rsid w:val="00D76195"/>
    <w:rsid w:val="00D762A1"/>
    <w:rsid w:val="00D7646D"/>
    <w:rsid w:val="00D774F5"/>
    <w:rsid w:val="00D80878"/>
    <w:rsid w:val="00D81B4C"/>
    <w:rsid w:val="00D82F23"/>
    <w:rsid w:val="00D8790B"/>
    <w:rsid w:val="00DA0637"/>
    <w:rsid w:val="00DA0836"/>
    <w:rsid w:val="00DA19CB"/>
    <w:rsid w:val="00DB3521"/>
    <w:rsid w:val="00DB6CEC"/>
    <w:rsid w:val="00DB6FF1"/>
    <w:rsid w:val="00DC0988"/>
    <w:rsid w:val="00DC23AE"/>
    <w:rsid w:val="00DC3079"/>
    <w:rsid w:val="00DC5457"/>
    <w:rsid w:val="00DC5C66"/>
    <w:rsid w:val="00DC7FA4"/>
    <w:rsid w:val="00DD1839"/>
    <w:rsid w:val="00DD50AE"/>
    <w:rsid w:val="00DD52F7"/>
    <w:rsid w:val="00DD61CC"/>
    <w:rsid w:val="00DD76C3"/>
    <w:rsid w:val="00DE25FC"/>
    <w:rsid w:val="00DE28A6"/>
    <w:rsid w:val="00DE5A4D"/>
    <w:rsid w:val="00DF181E"/>
    <w:rsid w:val="00DF1D4C"/>
    <w:rsid w:val="00DF3905"/>
    <w:rsid w:val="00DF46F9"/>
    <w:rsid w:val="00DF4BA4"/>
    <w:rsid w:val="00DF7D2A"/>
    <w:rsid w:val="00E00F5D"/>
    <w:rsid w:val="00E015F2"/>
    <w:rsid w:val="00E01F0C"/>
    <w:rsid w:val="00E03025"/>
    <w:rsid w:val="00E03C7F"/>
    <w:rsid w:val="00E058DE"/>
    <w:rsid w:val="00E06489"/>
    <w:rsid w:val="00E110BA"/>
    <w:rsid w:val="00E16977"/>
    <w:rsid w:val="00E17291"/>
    <w:rsid w:val="00E21FF4"/>
    <w:rsid w:val="00E24211"/>
    <w:rsid w:val="00E24BD7"/>
    <w:rsid w:val="00E35395"/>
    <w:rsid w:val="00E365EB"/>
    <w:rsid w:val="00E41277"/>
    <w:rsid w:val="00E45D02"/>
    <w:rsid w:val="00E56953"/>
    <w:rsid w:val="00E57759"/>
    <w:rsid w:val="00E60914"/>
    <w:rsid w:val="00E611B7"/>
    <w:rsid w:val="00E62087"/>
    <w:rsid w:val="00E67254"/>
    <w:rsid w:val="00E700E8"/>
    <w:rsid w:val="00E735B9"/>
    <w:rsid w:val="00E738DF"/>
    <w:rsid w:val="00E745DB"/>
    <w:rsid w:val="00E75B28"/>
    <w:rsid w:val="00E810B4"/>
    <w:rsid w:val="00E858B9"/>
    <w:rsid w:val="00E877B3"/>
    <w:rsid w:val="00E91BBE"/>
    <w:rsid w:val="00E926B8"/>
    <w:rsid w:val="00E937B5"/>
    <w:rsid w:val="00E93C6E"/>
    <w:rsid w:val="00E95957"/>
    <w:rsid w:val="00E95E72"/>
    <w:rsid w:val="00E960CF"/>
    <w:rsid w:val="00E96473"/>
    <w:rsid w:val="00EA1FA5"/>
    <w:rsid w:val="00EA2364"/>
    <w:rsid w:val="00EA2EC0"/>
    <w:rsid w:val="00EA58FB"/>
    <w:rsid w:val="00EB0C77"/>
    <w:rsid w:val="00EB0EC1"/>
    <w:rsid w:val="00EB25A5"/>
    <w:rsid w:val="00EB428A"/>
    <w:rsid w:val="00EB52DA"/>
    <w:rsid w:val="00EB78F4"/>
    <w:rsid w:val="00EC08D1"/>
    <w:rsid w:val="00EC0CF6"/>
    <w:rsid w:val="00EC4481"/>
    <w:rsid w:val="00EC5D04"/>
    <w:rsid w:val="00EC6E4C"/>
    <w:rsid w:val="00ED0C7B"/>
    <w:rsid w:val="00ED2E85"/>
    <w:rsid w:val="00ED316B"/>
    <w:rsid w:val="00ED339F"/>
    <w:rsid w:val="00ED660E"/>
    <w:rsid w:val="00ED6C79"/>
    <w:rsid w:val="00EE2033"/>
    <w:rsid w:val="00EE2B86"/>
    <w:rsid w:val="00EE550C"/>
    <w:rsid w:val="00EE5D22"/>
    <w:rsid w:val="00EF22AD"/>
    <w:rsid w:val="00EF29ED"/>
    <w:rsid w:val="00EF5BA9"/>
    <w:rsid w:val="00EF6BC1"/>
    <w:rsid w:val="00F026EA"/>
    <w:rsid w:val="00F029C1"/>
    <w:rsid w:val="00F05355"/>
    <w:rsid w:val="00F0758F"/>
    <w:rsid w:val="00F07F98"/>
    <w:rsid w:val="00F11D31"/>
    <w:rsid w:val="00F1568E"/>
    <w:rsid w:val="00F15AD3"/>
    <w:rsid w:val="00F171BE"/>
    <w:rsid w:val="00F175F7"/>
    <w:rsid w:val="00F20969"/>
    <w:rsid w:val="00F21910"/>
    <w:rsid w:val="00F221C1"/>
    <w:rsid w:val="00F23DC4"/>
    <w:rsid w:val="00F25085"/>
    <w:rsid w:val="00F25695"/>
    <w:rsid w:val="00F25AE0"/>
    <w:rsid w:val="00F26A0A"/>
    <w:rsid w:val="00F3028B"/>
    <w:rsid w:val="00F30940"/>
    <w:rsid w:val="00F322F9"/>
    <w:rsid w:val="00F350C6"/>
    <w:rsid w:val="00F36D9D"/>
    <w:rsid w:val="00F4210F"/>
    <w:rsid w:val="00F424F4"/>
    <w:rsid w:val="00F441A8"/>
    <w:rsid w:val="00F45364"/>
    <w:rsid w:val="00F4610F"/>
    <w:rsid w:val="00F54D46"/>
    <w:rsid w:val="00F561CE"/>
    <w:rsid w:val="00F61528"/>
    <w:rsid w:val="00F65F4B"/>
    <w:rsid w:val="00F665DD"/>
    <w:rsid w:val="00F6782D"/>
    <w:rsid w:val="00F721C1"/>
    <w:rsid w:val="00F72F99"/>
    <w:rsid w:val="00F73C3A"/>
    <w:rsid w:val="00F747B8"/>
    <w:rsid w:val="00F75C4A"/>
    <w:rsid w:val="00F7791D"/>
    <w:rsid w:val="00F77D3C"/>
    <w:rsid w:val="00F82875"/>
    <w:rsid w:val="00F82B51"/>
    <w:rsid w:val="00F83B6B"/>
    <w:rsid w:val="00F83E01"/>
    <w:rsid w:val="00F854C3"/>
    <w:rsid w:val="00F85619"/>
    <w:rsid w:val="00F90297"/>
    <w:rsid w:val="00F9084E"/>
    <w:rsid w:val="00F90F01"/>
    <w:rsid w:val="00F912DC"/>
    <w:rsid w:val="00F91476"/>
    <w:rsid w:val="00F94DC4"/>
    <w:rsid w:val="00F968A8"/>
    <w:rsid w:val="00F97817"/>
    <w:rsid w:val="00FA4020"/>
    <w:rsid w:val="00FA4D8F"/>
    <w:rsid w:val="00FA7F4E"/>
    <w:rsid w:val="00FB07F2"/>
    <w:rsid w:val="00FB1584"/>
    <w:rsid w:val="00FB3291"/>
    <w:rsid w:val="00FC0812"/>
    <w:rsid w:val="00FC1625"/>
    <w:rsid w:val="00FC1EAF"/>
    <w:rsid w:val="00FC4590"/>
    <w:rsid w:val="00FC4EE7"/>
    <w:rsid w:val="00FC7DDE"/>
    <w:rsid w:val="00FD0EC7"/>
    <w:rsid w:val="00FD201E"/>
    <w:rsid w:val="00FD5C8F"/>
    <w:rsid w:val="00FD6615"/>
    <w:rsid w:val="00FD7E99"/>
    <w:rsid w:val="00FE0970"/>
    <w:rsid w:val="00FE25A4"/>
    <w:rsid w:val="00FE2A23"/>
    <w:rsid w:val="00FE3C38"/>
    <w:rsid w:val="00FE3C82"/>
    <w:rsid w:val="00FE474D"/>
    <w:rsid w:val="00FE5E69"/>
    <w:rsid w:val="00FE6E95"/>
    <w:rsid w:val="00FF081F"/>
    <w:rsid w:val="00FF55AE"/>
    <w:rsid w:val="00FF6128"/>
    <w:rsid w:val="00FF6B9B"/>
    <w:rsid w:val="00FF7E99"/>
    <w:rsid w:val="0101150F"/>
    <w:rsid w:val="031F076C"/>
    <w:rsid w:val="03240756"/>
    <w:rsid w:val="03D26B78"/>
    <w:rsid w:val="04643548"/>
    <w:rsid w:val="04810778"/>
    <w:rsid w:val="04A1433A"/>
    <w:rsid w:val="051F5002"/>
    <w:rsid w:val="05424947"/>
    <w:rsid w:val="05A1215D"/>
    <w:rsid w:val="06E27B7F"/>
    <w:rsid w:val="07411641"/>
    <w:rsid w:val="079158A7"/>
    <w:rsid w:val="07B1432D"/>
    <w:rsid w:val="098022C9"/>
    <w:rsid w:val="09FE64D4"/>
    <w:rsid w:val="0A684868"/>
    <w:rsid w:val="0AFC188B"/>
    <w:rsid w:val="0B5D127B"/>
    <w:rsid w:val="0B83401D"/>
    <w:rsid w:val="0BAD69DE"/>
    <w:rsid w:val="0BD007CB"/>
    <w:rsid w:val="0BD63287"/>
    <w:rsid w:val="0C1F68BB"/>
    <w:rsid w:val="0D32089B"/>
    <w:rsid w:val="0DA0433C"/>
    <w:rsid w:val="0DF6719B"/>
    <w:rsid w:val="0EFD17A2"/>
    <w:rsid w:val="0F216A12"/>
    <w:rsid w:val="0FB439B2"/>
    <w:rsid w:val="1041006B"/>
    <w:rsid w:val="1057143C"/>
    <w:rsid w:val="117A259E"/>
    <w:rsid w:val="12BB05EE"/>
    <w:rsid w:val="136643BC"/>
    <w:rsid w:val="15B53A9D"/>
    <w:rsid w:val="16046696"/>
    <w:rsid w:val="16762E4B"/>
    <w:rsid w:val="17E33B00"/>
    <w:rsid w:val="183B3C08"/>
    <w:rsid w:val="18780650"/>
    <w:rsid w:val="197908DB"/>
    <w:rsid w:val="1A58610F"/>
    <w:rsid w:val="1A7FD707"/>
    <w:rsid w:val="1D08131D"/>
    <w:rsid w:val="1E0B1DBB"/>
    <w:rsid w:val="1F491786"/>
    <w:rsid w:val="1FCB558F"/>
    <w:rsid w:val="215311CA"/>
    <w:rsid w:val="21EE4657"/>
    <w:rsid w:val="22776828"/>
    <w:rsid w:val="241202B5"/>
    <w:rsid w:val="24544A54"/>
    <w:rsid w:val="24890F20"/>
    <w:rsid w:val="253A1A90"/>
    <w:rsid w:val="257802DB"/>
    <w:rsid w:val="25B547ED"/>
    <w:rsid w:val="25C5426D"/>
    <w:rsid w:val="26964789"/>
    <w:rsid w:val="275002F1"/>
    <w:rsid w:val="284D0690"/>
    <w:rsid w:val="29120A85"/>
    <w:rsid w:val="295C51E2"/>
    <w:rsid w:val="29A962C9"/>
    <w:rsid w:val="29B218C9"/>
    <w:rsid w:val="2A4A610E"/>
    <w:rsid w:val="2ADC327F"/>
    <w:rsid w:val="2B4E0C6A"/>
    <w:rsid w:val="2BF657DF"/>
    <w:rsid w:val="2C0E4FCB"/>
    <w:rsid w:val="2CD31509"/>
    <w:rsid w:val="2E0D2745"/>
    <w:rsid w:val="2E613E30"/>
    <w:rsid w:val="2EC47312"/>
    <w:rsid w:val="2ED17B27"/>
    <w:rsid w:val="2EFD6B90"/>
    <w:rsid w:val="2F13123B"/>
    <w:rsid w:val="2FB970B6"/>
    <w:rsid w:val="30933637"/>
    <w:rsid w:val="309E6F2E"/>
    <w:rsid w:val="30BA4261"/>
    <w:rsid w:val="314C2BD4"/>
    <w:rsid w:val="314D3A0C"/>
    <w:rsid w:val="31961C96"/>
    <w:rsid w:val="326C49B4"/>
    <w:rsid w:val="326D79CC"/>
    <w:rsid w:val="32DE7AB8"/>
    <w:rsid w:val="3383582A"/>
    <w:rsid w:val="33EE5D6F"/>
    <w:rsid w:val="344B34E0"/>
    <w:rsid w:val="34B15867"/>
    <w:rsid w:val="34B51ED3"/>
    <w:rsid w:val="35F17436"/>
    <w:rsid w:val="36DE7048"/>
    <w:rsid w:val="37DA70D0"/>
    <w:rsid w:val="38F539BC"/>
    <w:rsid w:val="3ABD0AFB"/>
    <w:rsid w:val="3B624B28"/>
    <w:rsid w:val="3BFC41D5"/>
    <w:rsid w:val="3CAC6D86"/>
    <w:rsid w:val="3D15273A"/>
    <w:rsid w:val="3D7D1354"/>
    <w:rsid w:val="3E0023FE"/>
    <w:rsid w:val="3F65794C"/>
    <w:rsid w:val="3F737414"/>
    <w:rsid w:val="3FBE0CF3"/>
    <w:rsid w:val="3FD700F2"/>
    <w:rsid w:val="41520C38"/>
    <w:rsid w:val="415F7F71"/>
    <w:rsid w:val="42523006"/>
    <w:rsid w:val="43E61F99"/>
    <w:rsid w:val="43EA4E68"/>
    <w:rsid w:val="4416577E"/>
    <w:rsid w:val="465F77D8"/>
    <w:rsid w:val="46E81127"/>
    <w:rsid w:val="46FC6E52"/>
    <w:rsid w:val="474B21E0"/>
    <w:rsid w:val="478703A1"/>
    <w:rsid w:val="47FD3F06"/>
    <w:rsid w:val="48C31C29"/>
    <w:rsid w:val="49BE1240"/>
    <w:rsid w:val="49E948D9"/>
    <w:rsid w:val="4AA377EA"/>
    <w:rsid w:val="4AC47503"/>
    <w:rsid w:val="4B281B41"/>
    <w:rsid w:val="4B565035"/>
    <w:rsid w:val="4C7421E8"/>
    <w:rsid w:val="4CF51418"/>
    <w:rsid w:val="4E583251"/>
    <w:rsid w:val="4EA5128B"/>
    <w:rsid w:val="4ED25C5B"/>
    <w:rsid w:val="4F226ACF"/>
    <w:rsid w:val="4FAC6836"/>
    <w:rsid w:val="4FAD1115"/>
    <w:rsid w:val="4FE230DB"/>
    <w:rsid w:val="506A4367"/>
    <w:rsid w:val="50C96439"/>
    <w:rsid w:val="50F55B10"/>
    <w:rsid w:val="519E693C"/>
    <w:rsid w:val="522E0E56"/>
    <w:rsid w:val="52AA5CA7"/>
    <w:rsid w:val="52CA1153"/>
    <w:rsid w:val="53207F83"/>
    <w:rsid w:val="53472782"/>
    <w:rsid w:val="538B79E0"/>
    <w:rsid w:val="53A053A2"/>
    <w:rsid w:val="53BA2C87"/>
    <w:rsid w:val="545D0401"/>
    <w:rsid w:val="54711C5C"/>
    <w:rsid w:val="5477261A"/>
    <w:rsid w:val="548C0CA3"/>
    <w:rsid w:val="54AE123C"/>
    <w:rsid w:val="54BA4EB6"/>
    <w:rsid w:val="54F47D3D"/>
    <w:rsid w:val="5558559C"/>
    <w:rsid w:val="55F67349"/>
    <w:rsid w:val="564831EA"/>
    <w:rsid w:val="56E2594E"/>
    <w:rsid w:val="57451A76"/>
    <w:rsid w:val="577B7030"/>
    <w:rsid w:val="57896C41"/>
    <w:rsid w:val="595308CE"/>
    <w:rsid w:val="59721FC0"/>
    <w:rsid w:val="59B14D4E"/>
    <w:rsid w:val="5A72426B"/>
    <w:rsid w:val="5A8C535A"/>
    <w:rsid w:val="5B251B2B"/>
    <w:rsid w:val="5BD672FA"/>
    <w:rsid w:val="5D2529DB"/>
    <w:rsid w:val="5D40545D"/>
    <w:rsid w:val="5DAC4BC1"/>
    <w:rsid w:val="5DFB11D5"/>
    <w:rsid w:val="5E1A4CFE"/>
    <w:rsid w:val="5E675FB2"/>
    <w:rsid w:val="5F260119"/>
    <w:rsid w:val="5F9732E2"/>
    <w:rsid w:val="600A3FD5"/>
    <w:rsid w:val="60221769"/>
    <w:rsid w:val="60B24043"/>
    <w:rsid w:val="61CC401B"/>
    <w:rsid w:val="61E20F20"/>
    <w:rsid w:val="6368586C"/>
    <w:rsid w:val="63CC4C93"/>
    <w:rsid w:val="64795A7F"/>
    <w:rsid w:val="65663441"/>
    <w:rsid w:val="658D4783"/>
    <w:rsid w:val="65D501B2"/>
    <w:rsid w:val="669277B2"/>
    <w:rsid w:val="66D049C0"/>
    <w:rsid w:val="66D9320C"/>
    <w:rsid w:val="66FA73EE"/>
    <w:rsid w:val="6747467B"/>
    <w:rsid w:val="68506E9A"/>
    <w:rsid w:val="69133134"/>
    <w:rsid w:val="6A041FB6"/>
    <w:rsid w:val="6B04301A"/>
    <w:rsid w:val="6BA17875"/>
    <w:rsid w:val="6C6F190B"/>
    <w:rsid w:val="6C794F82"/>
    <w:rsid w:val="6C9002A4"/>
    <w:rsid w:val="6D7F2B0E"/>
    <w:rsid w:val="6DAF19D8"/>
    <w:rsid w:val="6E720F41"/>
    <w:rsid w:val="6E8F4473"/>
    <w:rsid w:val="6F1912CF"/>
    <w:rsid w:val="6FCE5265"/>
    <w:rsid w:val="70000EEA"/>
    <w:rsid w:val="703253EE"/>
    <w:rsid w:val="70792073"/>
    <w:rsid w:val="70DC2DF9"/>
    <w:rsid w:val="71B44AF2"/>
    <w:rsid w:val="73EC0CCC"/>
    <w:rsid w:val="74705FC5"/>
    <w:rsid w:val="74B873C5"/>
    <w:rsid w:val="75C64302"/>
    <w:rsid w:val="769D1E8B"/>
    <w:rsid w:val="76D209BA"/>
    <w:rsid w:val="773D6BA2"/>
    <w:rsid w:val="79267D6C"/>
    <w:rsid w:val="796268A5"/>
    <w:rsid w:val="797F0548"/>
    <w:rsid w:val="7A133DE8"/>
    <w:rsid w:val="7A372189"/>
    <w:rsid w:val="7B6532B3"/>
    <w:rsid w:val="7B6D16A0"/>
    <w:rsid w:val="7BB27EB8"/>
    <w:rsid w:val="7E0440CD"/>
    <w:rsid w:val="7E075E08"/>
    <w:rsid w:val="7F6FD33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qFormat="1" w:uiPriority="99"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99"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8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33"/>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135"/>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156"/>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8"/>
    <w:link w:val="144"/>
    <w:qFormat/>
    <w:uiPriority w:val="9"/>
    <w:pPr>
      <w:keepNext/>
      <w:keepLines/>
      <w:spacing w:before="280" w:after="290" w:line="376" w:lineRule="auto"/>
      <w:outlineLvl w:val="4"/>
    </w:pPr>
    <w:rPr>
      <w:b/>
      <w:kern w:val="0"/>
      <w:sz w:val="28"/>
      <w:szCs w:val="24"/>
    </w:rPr>
  </w:style>
  <w:style w:type="paragraph" w:styleId="9">
    <w:name w:val="heading 6"/>
    <w:basedOn w:val="1"/>
    <w:next w:val="8"/>
    <w:link w:val="189"/>
    <w:qFormat/>
    <w:uiPriority w:val="0"/>
    <w:pPr>
      <w:keepNext/>
      <w:keepLines/>
      <w:spacing w:before="240" w:after="64" w:line="320" w:lineRule="auto"/>
      <w:outlineLvl w:val="5"/>
    </w:pPr>
    <w:rPr>
      <w:rFonts w:ascii="Arial" w:hAnsi="Arial" w:eastAsia="黑体"/>
      <w:b/>
      <w:kern w:val="0"/>
      <w:sz w:val="24"/>
      <w:szCs w:val="24"/>
    </w:rPr>
  </w:style>
  <w:style w:type="paragraph" w:styleId="10">
    <w:name w:val="heading 7"/>
    <w:basedOn w:val="1"/>
    <w:next w:val="8"/>
    <w:link w:val="151"/>
    <w:qFormat/>
    <w:uiPriority w:val="0"/>
    <w:pPr>
      <w:keepNext/>
      <w:keepLines/>
      <w:spacing w:before="240" w:after="64" w:line="320" w:lineRule="auto"/>
      <w:outlineLvl w:val="6"/>
    </w:pPr>
    <w:rPr>
      <w:b/>
      <w:kern w:val="0"/>
      <w:sz w:val="24"/>
      <w:szCs w:val="24"/>
    </w:rPr>
  </w:style>
  <w:style w:type="paragraph" w:styleId="11">
    <w:name w:val="heading 8"/>
    <w:basedOn w:val="1"/>
    <w:next w:val="8"/>
    <w:link w:val="185"/>
    <w:qFormat/>
    <w:uiPriority w:val="0"/>
    <w:pPr>
      <w:keepNext/>
      <w:keepLines/>
      <w:spacing w:before="240" w:after="64" w:line="320" w:lineRule="auto"/>
      <w:outlineLvl w:val="7"/>
    </w:pPr>
    <w:rPr>
      <w:rFonts w:ascii="Arial" w:hAnsi="Arial" w:eastAsia="黑体"/>
      <w:kern w:val="0"/>
      <w:sz w:val="24"/>
      <w:szCs w:val="24"/>
    </w:rPr>
  </w:style>
  <w:style w:type="paragraph" w:styleId="12">
    <w:name w:val="heading 9"/>
    <w:basedOn w:val="1"/>
    <w:next w:val="8"/>
    <w:link w:val="109"/>
    <w:qFormat/>
    <w:uiPriority w:val="0"/>
    <w:pPr>
      <w:keepNext/>
      <w:keepLines/>
      <w:spacing w:before="240" w:after="64" w:line="320" w:lineRule="auto"/>
      <w:outlineLvl w:val="8"/>
    </w:pPr>
    <w:rPr>
      <w:rFonts w:ascii="Arial" w:hAnsi="Arial" w:eastAsia="黑体"/>
      <w:kern w:val="0"/>
      <w:sz w:val="20"/>
      <w:szCs w:val="24"/>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9"/>
    <w:unhideWhenUsed/>
    <w:qFormat/>
    <w:uiPriority w:val="99"/>
    <w:pPr>
      <w:tabs>
        <w:tab w:val="center" w:pos="4153"/>
        <w:tab w:val="right" w:pos="8306"/>
      </w:tabs>
      <w:snapToGrid w:val="0"/>
      <w:jc w:val="left"/>
    </w:pPr>
    <w:rPr>
      <w:kern w:val="0"/>
      <w:sz w:val="18"/>
      <w:szCs w:val="18"/>
    </w:rPr>
  </w:style>
  <w:style w:type="paragraph" w:styleId="8">
    <w:name w:val="Normal Indent"/>
    <w:basedOn w:val="1"/>
    <w:link w:val="188"/>
    <w:qFormat/>
    <w:uiPriority w:val="0"/>
    <w:pPr>
      <w:ind w:firstLine="420"/>
    </w:pPr>
    <w:rPr>
      <w:kern w:val="0"/>
      <w:sz w:val="20"/>
      <w:szCs w:val="20"/>
    </w:rPr>
  </w:style>
  <w:style w:type="paragraph" w:styleId="13">
    <w:name w:val="List 3"/>
    <w:basedOn w:val="1"/>
    <w:qFormat/>
    <w:uiPriority w:val="0"/>
    <w:pPr>
      <w:ind w:left="100" w:leftChars="400" w:hanging="200" w:hangingChars="200"/>
    </w:pPr>
    <w:rPr>
      <w:rFonts w:ascii="Times New Roman" w:hAnsi="Times New Roman"/>
      <w:szCs w:val="24"/>
    </w:rPr>
  </w:style>
  <w:style w:type="paragraph" w:styleId="14">
    <w:name w:val="toc 7"/>
    <w:basedOn w:val="1"/>
    <w:next w:val="1"/>
    <w:unhideWhenUsed/>
    <w:qFormat/>
    <w:uiPriority w:val="0"/>
    <w:pPr>
      <w:ind w:left="2520" w:leftChars="1200"/>
    </w:pPr>
  </w:style>
  <w:style w:type="paragraph" w:styleId="15">
    <w:name w:val="List Number"/>
    <w:basedOn w:val="1"/>
    <w:qFormat/>
    <w:uiPriority w:val="0"/>
    <w:pPr>
      <w:widowControl/>
      <w:tabs>
        <w:tab w:val="left" w:pos="454"/>
        <w:tab w:val="left" w:pos="720"/>
        <w:tab w:val="left" w:pos="840"/>
      </w:tabs>
      <w:spacing w:afterLines="50"/>
      <w:ind w:left="454" w:hanging="284"/>
      <w:jc w:val="left"/>
    </w:pPr>
    <w:rPr>
      <w:rFonts w:ascii="Times New Roman" w:hAnsi="Times New Roman"/>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152"/>
    <w:semiHidden/>
    <w:qFormat/>
    <w:uiPriority w:val="0"/>
    <w:pPr>
      <w:shd w:val="clear" w:color="auto" w:fill="000080"/>
    </w:pPr>
    <w:rPr>
      <w:rFonts w:ascii="Times New Roman" w:hAnsi="Times New Roman"/>
      <w:kern w:val="0"/>
      <w:sz w:val="20"/>
      <w:szCs w:val="24"/>
    </w:rPr>
  </w:style>
  <w:style w:type="paragraph" w:styleId="18">
    <w:name w:val="toa heading"/>
    <w:basedOn w:val="1"/>
    <w:next w:val="1"/>
    <w:unhideWhenUsed/>
    <w:qFormat/>
    <w:uiPriority w:val="99"/>
    <w:pPr>
      <w:spacing w:before="120" w:line="320" w:lineRule="exact"/>
      <w:ind w:firstLine="200" w:firstLineChars="200"/>
    </w:pPr>
    <w:rPr>
      <w:rFonts w:ascii="Cambria" w:hAnsi="Cambria"/>
      <w:sz w:val="24"/>
      <w:szCs w:val="24"/>
    </w:rPr>
  </w:style>
  <w:style w:type="paragraph" w:styleId="19">
    <w:name w:val="annotation text"/>
    <w:basedOn w:val="1"/>
    <w:link w:val="184"/>
    <w:qFormat/>
    <w:uiPriority w:val="0"/>
    <w:pPr>
      <w:jc w:val="left"/>
    </w:pPr>
    <w:rPr>
      <w:rFonts w:ascii="Times New Roman" w:hAnsi="Times New Roman"/>
      <w:kern w:val="0"/>
      <w:sz w:val="20"/>
      <w:szCs w:val="24"/>
    </w:rPr>
  </w:style>
  <w:style w:type="paragraph" w:styleId="20">
    <w:name w:val="Body Text 3"/>
    <w:basedOn w:val="1"/>
    <w:link w:val="114"/>
    <w:qFormat/>
    <w:uiPriority w:val="0"/>
    <w:pPr>
      <w:spacing w:line="500" w:lineRule="exact"/>
    </w:pPr>
    <w:rPr>
      <w:b/>
      <w:bCs/>
      <w:kern w:val="0"/>
      <w:sz w:val="24"/>
      <w:szCs w:val="24"/>
    </w:rPr>
  </w:style>
  <w:style w:type="paragraph" w:styleId="21">
    <w:name w:val="Body Text"/>
    <w:basedOn w:val="1"/>
    <w:link w:val="146"/>
    <w:unhideWhenUsed/>
    <w:qFormat/>
    <w:uiPriority w:val="0"/>
    <w:pPr>
      <w:spacing w:after="120"/>
    </w:pPr>
    <w:rPr>
      <w:rFonts w:ascii="Times New Roman" w:hAnsi="Times New Roman"/>
      <w:kern w:val="0"/>
      <w:sz w:val="20"/>
      <w:szCs w:val="24"/>
    </w:rPr>
  </w:style>
  <w:style w:type="paragraph" w:styleId="22">
    <w:name w:val="Body Text Indent"/>
    <w:basedOn w:val="1"/>
    <w:link w:val="179"/>
    <w:qFormat/>
    <w:uiPriority w:val="0"/>
    <w:pPr>
      <w:ind w:firstLine="830" w:firstLineChars="352"/>
    </w:pPr>
    <w:rPr>
      <w:rFonts w:ascii="仿宋_GB2312" w:hAnsi="Times New Roman" w:eastAsia="仿宋_GB2312"/>
      <w:kern w:val="0"/>
      <w:sz w:val="32"/>
      <w:szCs w:val="20"/>
    </w:rPr>
  </w:style>
  <w:style w:type="paragraph" w:styleId="23">
    <w:name w:val="List Number 3"/>
    <w:basedOn w:val="1"/>
    <w:qFormat/>
    <w:uiPriority w:val="0"/>
    <w:pPr>
      <w:tabs>
        <w:tab w:val="left" w:pos="1200"/>
      </w:tabs>
      <w:ind w:left="1200" w:hanging="360"/>
    </w:pPr>
    <w:rPr>
      <w:rFonts w:ascii="Times New Roman" w:hAnsi="Times New Roman"/>
      <w:szCs w:val="24"/>
    </w:rPr>
  </w:style>
  <w:style w:type="paragraph" w:styleId="24">
    <w:name w:val="List 2"/>
    <w:basedOn w:val="1"/>
    <w:qFormat/>
    <w:uiPriority w:val="99"/>
    <w:pPr>
      <w:ind w:left="100" w:leftChars="200" w:hanging="200" w:hangingChars="200"/>
    </w:pPr>
    <w:rPr>
      <w:rFonts w:ascii="Times New Roman" w:hAnsi="Times New Roman"/>
      <w:sz w:val="28"/>
      <w:szCs w:val="24"/>
    </w:rPr>
  </w:style>
  <w:style w:type="paragraph" w:styleId="25">
    <w:name w:val="toc 5"/>
    <w:basedOn w:val="1"/>
    <w:next w:val="1"/>
    <w:unhideWhenUsed/>
    <w:qFormat/>
    <w:uiPriority w:val="0"/>
    <w:pPr>
      <w:ind w:left="1680" w:leftChars="800"/>
    </w:pPr>
  </w:style>
  <w:style w:type="paragraph" w:styleId="26">
    <w:name w:val="toc 3"/>
    <w:basedOn w:val="1"/>
    <w:next w:val="1"/>
    <w:unhideWhenUsed/>
    <w:qFormat/>
    <w:uiPriority w:val="0"/>
    <w:pPr>
      <w:ind w:left="840" w:leftChars="400"/>
    </w:pPr>
  </w:style>
  <w:style w:type="paragraph" w:styleId="27">
    <w:name w:val="Plain Text"/>
    <w:basedOn w:val="1"/>
    <w:next w:val="6"/>
    <w:link w:val="161"/>
    <w:qFormat/>
    <w:uiPriority w:val="0"/>
    <w:rPr>
      <w:rFonts w:ascii="宋体" w:hAnsi="Courier New"/>
      <w:kern w:val="0"/>
      <w:sz w:val="20"/>
      <w:szCs w:val="21"/>
    </w:rPr>
  </w:style>
  <w:style w:type="paragraph" w:styleId="28">
    <w:name w:val="toc 8"/>
    <w:basedOn w:val="1"/>
    <w:next w:val="1"/>
    <w:unhideWhenUsed/>
    <w:qFormat/>
    <w:uiPriority w:val="0"/>
    <w:pPr>
      <w:ind w:left="2940" w:leftChars="1400"/>
    </w:pPr>
  </w:style>
  <w:style w:type="paragraph" w:styleId="29">
    <w:name w:val="Date"/>
    <w:basedOn w:val="1"/>
    <w:next w:val="1"/>
    <w:link w:val="177"/>
    <w:unhideWhenUsed/>
    <w:qFormat/>
    <w:uiPriority w:val="99"/>
    <w:pPr>
      <w:ind w:left="100" w:leftChars="2500"/>
    </w:pPr>
    <w:rPr>
      <w:rFonts w:ascii="Times New Roman" w:hAnsi="Times New Roman"/>
      <w:kern w:val="0"/>
      <w:sz w:val="20"/>
      <w:szCs w:val="24"/>
    </w:rPr>
  </w:style>
  <w:style w:type="paragraph" w:styleId="30">
    <w:name w:val="Body Text Indent 2"/>
    <w:basedOn w:val="1"/>
    <w:link w:val="134"/>
    <w:qFormat/>
    <w:uiPriority w:val="0"/>
    <w:pPr>
      <w:ind w:firstLine="630"/>
    </w:pPr>
    <w:rPr>
      <w:kern w:val="0"/>
      <w:sz w:val="32"/>
      <w:szCs w:val="20"/>
    </w:rPr>
  </w:style>
  <w:style w:type="paragraph" w:styleId="31">
    <w:name w:val="endnote text"/>
    <w:basedOn w:val="1"/>
    <w:link w:val="187"/>
    <w:unhideWhenUsed/>
    <w:qFormat/>
    <w:uiPriority w:val="0"/>
    <w:pPr>
      <w:snapToGrid w:val="0"/>
      <w:jc w:val="left"/>
    </w:pPr>
    <w:rPr>
      <w:rFonts w:ascii="Times New Roman" w:hAnsi="Times New Roman"/>
      <w:kern w:val="0"/>
      <w:sz w:val="20"/>
      <w:szCs w:val="24"/>
    </w:rPr>
  </w:style>
  <w:style w:type="paragraph" w:styleId="32">
    <w:name w:val="Balloon Text"/>
    <w:basedOn w:val="1"/>
    <w:link w:val="163"/>
    <w:semiHidden/>
    <w:qFormat/>
    <w:uiPriority w:val="0"/>
    <w:rPr>
      <w:rFonts w:ascii="Times New Roman" w:hAnsi="Times New Roman"/>
      <w:kern w:val="0"/>
      <w:sz w:val="18"/>
      <w:szCs w:val="18"/>
    </w:rPr>
  </w:style>
  <w:style w:type="paragraph" w:styleId="33">
    <w:name w:val="header"/>
    <w:basedOn w:val="1"/>
    <w:link w:val="12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unhideWhenUsed/>
    <w:qFormat/>
    <w:uiPriority w:val="39"/>
    <w:rPr>
      <w:rFonts w:ascii="Times New Roman" w:hAnsi="Times New Roman"/>
      <w:szCs w:val="24"/>
    </w:rPr>
  </w:style>
  <w:style w:type="paragraph" w:styleId="35">
    <w:name w:val="toc 4"/>
    <w:basedOn w:val="1"/>
    <w:next w:val="1"/>
    <w:unhideWhenUsed/>
    <w:qFormat/>
    <w:uiPriority w:val="0"/>
    <w:pPr>
      <w:ind w:left="1260" w:leftChars="600"/>
    </w:pPr>
  </w:style>
  <w:style w:type="paragraph" w:styleId="36">
    <w:name w:val="index heading"/>
    <w:basedOn w:val="1"/>
    <w:next w:val="37"/>
    <w:semiHidden/>
    <w:qFormat/>
    <w:uiPriority w:val="0"/>
    <w:rPr>
      <w:rFonts w:ascii="Times New Roman" w:hAnsi="Times New Roman"/>
      <w:szCs w:val="20"/>
    </w:rPr>
  </w:style>
  <w:style w:type="paragraph" w:styleId="37">
    <w:name w:val="index 1"/>
    <w:basedOn w:val="1"/>
    <w:next w:val="1"/>
    <w:semiHidden/>
    <w:qFormat/>
    <w:uiPriority w:val="0"/>
    <w:pPr>
      <w:spacing w:line="400" w:lineRule="exact"/>
      <w:ind w:firstLine="420" w:firstLineChars="200"/>
    </w:pPr>
    <w:rPr>
      <w:rFonts w:ascii="宋体" w:hAnsi="Courier New"/>
      <w:b/>
      <w:szCs w:val="20"/>
    </w:rPr>
  </w:style>
  <w:style w:type="paragraph" w:styleId="38">
    <w:name w:val="List"/>
    <w:basedOn w:val="1"/>
    <w:qFormat/>
    <w:uiPriority w:val="0"/>
    <w:pPr>
      <w:ind w:left="200" w:hanging="200" w:hangingChars="200"/>
    </w:pPr>
    <w:rPr>
      <w:rFonts w:ascii="Times New Roman" w:hAnsi="Times New Roman"/>
      <w:sz w:val="28"/>
      <w:szCs w:val="24"/>
    </w:rPr>
  </w:style>
  <w:style w:type="paragraph" w:styleId="39">
    <w:name w:val="footnote text"/>
    <w:basedOn w:val="1"/>
    <w:link w:val="182"/>
    <w:unhideWhenUsed/>
    <w:qFormat/>
    <w:uiPriority w:val="0"/>
    <w:pPr>
      <w:snapToGrid w:val="0"/>
      <w:jc w:val="left"/>
    </w:pPr>
    <w:rPr>
      <w:rFonts w:ascii="Times New Roman" w:hAnsi="Times New Roman"/>
      <w:kern w:val="0"/>
      <w:sz w:val="18"/>
      <w:szCs w:val="18"/>
    </w:rPr>
  </w:style>
  <w:style w:type="paragraph" w:styleId="40">
    <w:name w:val="toc 6"/>
    <w:basedOn w:val="1"/>
    <w:next w:val="1"/>
    <w:unhideWhenUsed/>
    <w:qFormat/>
    <w:uiPriority w:val="0"/>
    <w:pPr>
      <w:ind w:left="2100" w:leftChars="1000"/>
    </w:pPr>
  </w:style>
  <w:style w:type="paragraph" w:styleId="41">
    <w:name w:val="Body Text Indent 3"/>
    <w:basedOn w:val="1"/>
    <w:link w:val="175"/>
    <w:qFormat/>
    <w:uiPriority w:val="0"/>
    <w:pPr>
      <w:spacing w:after="120"/>
      <w:ind w:left="420" w:leftChars="200"/>
    </w:pPr>
    <w:rPr>
      <w:kern w:val="0"/>
      <w:sz w:val="16"/>
      <w:szCs w:val="16"/>
    </w:rPr>
  </w:style>
  <w:style w:type="paragraph" w:styleId="42">
    <w:name w:val="toc 2"/>
    <w:basedOn w:val="1"/>
    <w:next w:val="1"/>
    <w:unhideWhenUsed/>
    <w:qFormat/>
    <w:uiPriority w:val="39"/>
    <w:pPr>
      <w:tabs>
        <w:tab w:val="right" w:leader="dot" w:pos="8450"/>
      </w:tabs>
      <w:ind w:left="420" w:leftChars="200"/>
    </w:pPr>
    <w:rPr>
      <w:rFonts w:ascii="Times New Roman" w:hAnsi="Times New Roman"/>
      <w:szCs w:val="24"/>
    </w:rPr>
  </w:style>
  <w:style w:type="paragraph" w:styleId="43">
    <w:name w:val="toc 9"/>
    <w:basedOn w:val="1"/>
    <w:next w:val="1"/>
    <w:unhideWhenUsed/>
    <w:qFormat/>
    <w:uiPriority w:val="0"/>
    <w:pPr>
      <w:ind w:left="3360" w:leftChars="1600"/>
    </w:pPr>
  </w:style>
  <w:style w:type="paragraph" w:styleId="44">
    <w:name w:val="Body Text 2"/>
    <w:basedOn w:val="1"/>
    <w:link w:val="154"/>
    <w:qFormat/>
    <w:uiPriority w:val="0"/>
    <w:pPr>
      <w:spacing w:after="120" w:line="480" w:lineRule="auto"/>
    </w:pPr>
    <w:rPr>
      <w:kern w:val="0"/>
      <w:sz w:val="20"/>
      <w:szCs w:val="24"/>
    </w:rPr>
  </w:style>
  <w:style w:type="paragraph" w:styleId="45">
    <w:name w:val="HTML Preformatted"/>
    <w:basedOn w:val="1"/>
    <w:link w:val="1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6">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47">
    <w:name w:val="Title"/>
    <w:basedOn w:val="1"/>
    <w:next w:val="1"/>
    <w:link w:val="140"/>
    <w:qFormat/>
    <w:uiPriority w:val="0"/>
    <w:pPr>
      <w:spacing w:before="240" w:after="60"/>
      <w:jc w:val="center"/>
      <w:outlineLvl w:val="0"/>
    </w:pPr>
    <w:rPr>
      <w:rFonts w:ascii="Cambria" w:hAnsi="Cambria"/>
      <w:b/>
      <w:bCs/>
      <w:kern w:val="0"/>
      <w:sz w:val="32"/>
      <w:szCs w:val="32"/>
    </w:rPr>
  </w:style>
  <w:style w:type="paragraph" w:styleId="48">
    <w:name w:val="annotation subject"/>
    <w:basedOn w:val="19"/>
    <w:next w:val="19"/>
    <w:link w:val="120"/>
    <w:qFormat/>
    <w:uiPriority w:val="99"/>
    <w:rPr>
      <w:b/>
      <w:bCs/>
    </w:rPr>
  </w:style>
  <w:style w:type="paragraph" w:styleId="49">
    <w:name w:val="Body Text First Indent"/>
    <w:basedOn w:val="21"/>
    <w:link w:val="164"/>
    <w:qFormat/>
    <w:uiPriority w:val="0"/>
    <w:pPr>
      <w:ind w:firstLine="420" w:firstLineChars="100"/>
    </w:pPr>
    <w:rPr>
      <w:rFonts w:ascii="宋体" w:hAnsi="Courier New"/>
      <w:szCs w:val="21"/>
    </w:rPr>
  </w:style>
  <w:style w:type="paragraph" w:styleId="50">
    <w:name w:val="Body Text First Indent 2"/>
    <w:basedOn w:val="22"/>
    <w:link w:val="167"/>
    <w:qFormat/>
    <w:uiPriority w:val="0"/>
    <w:pPr>
      <w:spacing w:after="120"/>
      <w:ind w:left="420" w:leftChars="200" w:firstLine="420" w:firstLineChars="200"/>
    </w:pPr>
    <w:rPr>
      <w:rFonts w:ascii="Times New Roman"/>
      <w:sz w:val="20"/>
      <w:szCs w:val="24"/>
    </w:rPr>
  </w:style>
  <w:style w:type="table" w:styleId="52">
    <w:name w:val="Table Grid"/>
    <w:basedOn w:val="5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4">
    <w:name w:val="Strong"/>
    <w:qFormat/>
    <w:uiPriority w:val="22"/>
    <w:rPr>
      <w:rFonts w:ascii="Tahoma" w:hAnsi="Tahoma" w:eastAsia="宋体"/>
      <w:b/>
      <w:bCs/>
      <w:spacing w:val="10"/>
      <w:kern w:val="2"/>
      <w:sz w:val="24"/>
      <w:szCs w:val="24"/>
      <w:lang w:val="en-US" w:eastAsia="zh-CN" w:bidi="ar-SA"/>
    </w:rPr>
  </w:style>
  <w:style w:type="character" w:styleId="55">
    <w:name w:val="page number"/>
    <w:basedOn w:val="53"/>
    <w:qFormat/>
    <w:uiPriority w:val="0"/>
  </w:style>
  <w:style w:type="character" w:styleId="56">
    <w:name w:val="FollowedHyperlink"/>
    <w:unhideWhenUsed/>
    <w:qFormat/>
    <w:uiPriority w:val="99"/>
    <w:rPr>
      <w:color w:val="800080"/>
      <w:u w:val="single"/>
    </w:rPr>
  </w:style>
  <w:style w:type="character" w:styleId="57">
    <w:name w:val="Emphasis"/>
    <w:basedOn w:val="53"/>
    <w:qFormat/>
    <w:uiPriority w:val="20"/>
    <w:rPr>
      <w:i/>
    </w:rPr>
  </w:style>
  <w:style w:type="character" w:styleId="58">
    <w:name w:val="Hyperlink"/>
    <w:unhideWhenUsed/>
    <w:qFormat/>
    <w:uiPriority w:val="99"/>
    <w:rPr>
      <w:color w:val="0000FF"/>
      <w:u w:val="single"/>
    </w:rPr>
  </w:style>
  <w:style w:type="character" w:styleId="59">
    <w:name w:val="annotation reference"/>
    <w:qFormat/>
    <w:uiPriority w:val="99"/>
    <w:rPr>
      <w:sz w:val="21"/>
      <w:szCs w:val="21"/>
    </w:rPr>
  </w:style>
  <w:style w:type="paragraph" w:customStyle="1" w:styleId="60">
    <w:name w:val="Char Char Char"/>
    <w:basedOn w:val="1"/>
    <w:qFormat/>
    <w:uiPriority w:val="0"/>
    <w:rPr>
      <w:rFonts w:ascii="Tahoma" w:hAnsi="Tahoma"/>
      <w:sz w:val="24"/>
      <w:szCs w:val="20"/>
    </w:rPr>
  </w:style>
  <w:style w:type="paragraph" w:customStyle="1" w:styleId="61">
    <w:name w:val="招标文件样式2"/>
    <w:basedOn w:val="1"/>
    <w:qFormat/>
    <w:uiPriority w:val="0"/>
    <w:pPr>
      <w:jc w:val="center"/>
      <w:outlineLvl w:val="0"/>
    </w:pPr>
    <w:rPr>
      <w:rFonts w:ascii="宋体" w:hAnsi="宋体"/>
      <w:b/>
      <w:sz w:val="28"/>
      <w:szCs w:val="28"/>
    </w:rPr>
  </w:style>
  <w:style w:type="paragraph" w:customStyle="1" w:styleId="62">
    <w:name w:val="列出段落11"/>
    <w:basedOn w:val="1"/>
    <w:qFormat/>
    <w:uiPriority w:val="34"/>
    <w:pPr>
      <w:ind w:firstLine="420" w:firstLineChars="200"/>
    </w:pPr>
  </w:style>
  <w:style w:type="paragraph" w:customStyle="1" w:styleId="63">
    <w:name w:val="Char Char2 Char"/>
    <w:basedOn w:val="1"/>
    <w:qFormat/>
    <w:uiPriority w:val="0"/>
    <w:rPr>
      <w:rFonts w:ascii="宋体" w:hAnsi="宋体"/>
      <w:b/>
      <w:sz w:val="28"/>
      <w:szCs w:val="28"/>
    </w:rPr>
  </w:style>
  <w:style w:type="paragraph" w:customStyle="1" w:styleId="6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5">
    <w:name w:val="_Style 90"/>
    <w:basedOn w:val="21"/>
    <w:next w:val="49"/>
    <w:link w:val="116"/>
    <w:qFormat/>
    <w:uiPriority w:val="0"/>
    <w:pPr>
      <w:ind w:firstLine="420" w:firstLineChars="100"/>
    </w:pPr>
    <w:rPr>
      <w:rFonts w:ascii="宋体" w:hAnsi="Courier New"/>
      <w:szCs w:val="21"/>
    </w:rPr>
  </w:style>
  <w:style w:type="paragraph" w:customStyle="1" w:styleId="66">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
    <w:name w:val="段"/>
    <w:link w:val="112"/>
    <w:qFormat/>
    <w:uiPriority w:val="99"/>
    <w:pPr>
      <w:autoSpaceDE w:val="0"/>
      <w:autoSpaceDN w:val="0"/>
      <w:ind w:firstLine="200" w:firstLineChars="200"/>
      <w:jc w:val="both"/>
    </w:pPr>
    <w:rPr>
      <w:rFonts w:ascii="宋体" w:hAnsi="Times New Roman" w:eastAsia="Times New Roman" w:cs="宋体"/>
      <w:sz w:val="21"/>
      <w:szCs w:val="21"/>
      <w:lang w:val="en-US" w:eastAsia="zh-CN" w:bidi="ar-SA"/>
    </w:rPr>
  </w:style>
  <w:style w:type="paragraph" w:customStyle="1" w:styleId="68">
    <w:name w:val="表格"/>
    <w:basedOn w:val="1"/>
    <w:qFormat/>
    <w:uiPriority w:val="0"/>
    <w:pPr>
      <w:spacing w:line="400" w:lineRule="exact"/>
    </w:pPr>
    <w:rPr>
      <w:rFonts w:ascii="Times New Roman" w:hAnsi="Times New Roman"/>
      <w:sz w:val="24"/>
      <w:szCs w:val="24"/>
    </w:rPr>
  </w:style>
  <w:style w:type="paragraph" w:customStyle="1" w:styleId="69">
    <w:name w:val="Char Char Char Char"/>
    <w:basedOn w:val="1"/>
    <w:qFormat/>
    <w:uiPriority w:val="0"/>
    <w:pPr>
      <w:tabs>
        <w:tab w:val="left" w:pos="780"/>
      </w:tabs>
      <w:ind w:left="780" w:hanging="360"/>
    </w:pPr>
    <w:rPr>
      <w:rFonts w:ascii="Times New Roman" w:hAnsi="Times New Roman"/>
      <w:sz w:val="24"/>
      <w:szCs w:val="24"/>
    </w:rPr>
  </w:style>
  <w:style w:type="paragraph" w:customStyle="1" w:styleId="70">
    <w:name w:val="表格文字"/>
    <w:basedOn w:val="1"/>
    <w:qFormat/>
    <w:uiPriority w:val="0"/>
    <w:pPr>
      <w:spacing w:before="25" w:after="25"/>
      <w:jc w:val="left"/>
    </w:pPr>
    <w:rPr>
      <w:rFonts w:ascii="Times New Roman" w:hAnsi="Times New Roman"/>
      <w:bCs/>
      <w:spacing w:val="10"/>
      <w:kern w:val="0"/>
      <w:sz w:val="24"/>
      <w:szCs w:val="20"/>
    </w:rPr>
  </w:style>
  <w:style w:type="paragraph" w:customStyle="1" w:styleId="71">
    <w:name w:val="Char1"/>
    <w:basedOn w:val="1"/>
    <w:qFormat/>
    <w:uiPriority w:val="0"/>
    <w:rPr>
      <w:rFonts w:ascii="Times New Roman" w:hAnsi="Times New Roman"/>
      <w:szCs w:val="21"/>
    </w:rPr>
  </w:style>
  <w:style w:type="paragraph" w:customStyle="1" w:styleId="72">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73">
    <w:name w:val="Char"/>
    <w:basedOn w:val="17"/>
    <w:semiHidden/>
    <w:qFormat/>
    <w:uiPriority w:val="0"/>
    <w:rPr>
      <w:rFonts w:ascii="Tahoma" w:hAnsi="Tahoma" w:cs="Tahoma"/>
      <w:sz w:val="18"/>
    </w:rPr>
  </w:style>
  <w:style w:type="paragraph" w:customStyle="1" w:styleId="74">
    <w:name w:val="题注4"/>
    <w:basedOn w:val="1"/>
    <w:next w:val="16"/>
    <w:qFormat/>
    <w:uiPriority w:val="0"/>
    <w:pPr>
      <w:ind w:left="-132" w:leftChars="-64" w:right="-105" w:rightChars="-50" w:hanging="2"/>
      <w:jc w:val="center"/>
    </w:pPr>
    <w:rPr>
      <w:rFonts w:ascii="Times New Roman" w:hAnsi="Times New Roman"/>
      <w:b/>
      <w:color w:val="FF0000"/>
      <w:szCs w:val="21"/>
      <w:lang w:val="en-GB"/>
    </w:rPr>
  </w:style>
  <w:style w:type="paragraph" w:customStyle="1" w:styleId="75">
    <w:name w:val="标题 51"/>
    <w:basedOn w:val="1"/>
    <w:qFormat/>
    <w:uiPriority w:val="1"/>
    <w:pPr>
      <w:autoSpaceDE w:val="0"/>
      <w:autoSpaceDN w:val="0"/>
      <w:spacing w:before="170"/>
      <w:ind w:left="1244"/>
      <w:jc w:val="left"/>
      <w:outlineLvl w:val="5"/>
    </w:pPr>
    <w:rPr>
      <w:rFonts w:ascii="宋体" w:hAnsi="宋体" w:cs="宋体"/>
      <w:b/>
      <w:bCs/>
      <w:kern w:val="0"/>
      <w:szCs w:val="21"/>
      <w:lang w:eastAsia="en-US"/>
    </w:rPr>
  </w:style>
  <w:style w:type="paragraph" w:customStyle="1" w:styleId="76">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77">
    <w:name w:val="默认段落字体 Para Char"/>
    <w:basedOn w:val="1"/>
    <w:qFormat/>
    <w:uiPriority w:val="0"/>
    <w:rPr>
      <w:rFonts w:ascii="宋体" w:hAnsi="宋体"/>
      <w:b/>
      <w:sz w:val="28"/>
      <w:szCs w:val="28"/>
    </w:rPr>
  </w:style>
  <w:style w:type="paragraph" w:customStyle="1" w:styleId="78">
    <w:name w:val="Table Paragraph"/>
    <w:basedOn w:val="1"/>
    <w:qFormat/>
    <w:uiPriority w:val="1"/>
    <w:pPr>
      <w:autoSpaceDE w:val="0"/>
      <w:autoSpaceDN w:val="0"/>
      <w:jc w:val="left"/>
    </w:pPr>
    <w:rPr>
      <w:rFonts w:ascii="宋体" w:hAnsi="宋体" w:cs="宋体"/>
      <w:kern w:val="0"/>
      <w:sz w:val="22"/>
      <w:lang w:eastAsia="en-US"/>
    </w:rPr>
  </w:style>
  <w:style w:type="paragraph" w:customStyle="1" w:styleId="79">
    <w:name w:val="_Style 69"/>
    <w:basedOn w:val="3"/>
    <w:next w:val="1"/>
    <w:qFormat/>
    <w:uiPriority w:val="0"/>
    <w:pPr>
      <w:widowControl/>
      <w:tabs>
        <w:tab w:val="left" w:pos="420"/>
      </w:tabs>
      <w:spacing w:before="480" w:after="0" w:line="276" w:lineRule="auto"/>
      <w:ind w:left="420" w:hanging="420"/>
      <w:jc w:val="left"/>
      <w:outlineLvl w:val="9"/>
    </w:pPr>
    <w:rPr>
      <w:rFonts w:ascii="Cambria" w:hAnsi="Cambria"/>
      <w:color w:val="365F91"/>
      <w:kern w:val="0"/>
      <w:sz w:val="28"/>
      <w:szCs w:val="28"/>
    </w:rPr>
  </w:style>
  <w:style w:type="paragraph" w:customStyle="1" w:styleId="80">
    <w:name w:val="五级标题"/>
    <w:basedOn w:val="1"/>
    <w:link w:val="143"/>
    <w:qFormat/>
    <w:uiPriority w:val="0"/>
    <w:pPr>
      <w:spacing w:line="360" w:lineRule="auto"/>
      <w:ind w:left="1275" w:hanging="750"/>
      <w:outlineLvl w:val="4"/>
    </w:pPr>
    <w:rPr>
      <w:rFonts w:eastAsia="黑体"/>
      <w:b/>
      <w:kern w:val="0"/>
      <w:sz w:val="28"/>
      <w:szCs w:val="20"/>
    </w:rPr>
  </w:style>
  <w:style w:type="paragraph" w:customStyle="1" w:styleId="81">
    <w:name w:val="Char Char Char Char Char Char Char"/>
    <w:basedOn w:val="1"/>
    <w:qFormat/>
    <w:uiPriority w:val="0"/>
    <w:pPr>
      <w:tabs>
        <w:tab w:val="left" w:pos="425"/>
      </w:tabs>
      <w:ind w:left="425" w:hanging="425"/>
    </w:pPr>
    <w:rPr>
      <w:rFonts w:ascii="Times New Roman" w:hAnsi="Times New Roman" w:eastAsia="仿宋_GB2312"/>
      <w:kern w:val="24"/>
      <w:sz w:val="24"/>
      <w:szCs w:val="24"/>
    </w:rPr>
  </w:style>
  <w:style w:type="paragraph" w:customStyle="1" w:styleId="82">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83">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84">
    <w:name w:val="无间隔1"/>
    <w:link w:val="119"/>
    <w:qFormat/>
    <w:uiPriority w:val="1"/>
    <w:pPr>
      <w:widowControl w:val="0"/>
      <w:jc w:val="both"/>
    </w:pPr>
    <w:rPr>
      <w:rFonts w:ascii="Calibri" w:hAnsi="Calibri" w:eastAsia="宋体" w:cs="Times New Roman"/>
      <w:kern w:val="2"/>
      <w:sz w:val="21"/>
      <w:szCs w:val="22"/>
      <w:lang w:val="en-US" w:eastAsia="zh-CN" w:bidi="ar-SA"/>
    </w:rPr>
  </w:style>
  <w:style w:type="paragraph" w:customStyle="1" w:styleId="85">
    <w:name w:val="_Style 75"/>
    <w:semiHidden/>
    <w:qFormat/>
    <w:uiPriority w:val="0"/>
    <w:rPr>
      <w:rFonts w:ascii="Times New Roman" w:hAnsi="Times New Roman" w:eastAsia="宋体" w:cs="Times New Roman"/>
      <w:kern w:val="2"/>
      <w:sz w:val="21"/>
      <w:szCs w:val="24"/>
      <w:lang w:val="en-US" w:eastAsia="zh-CN" w:bidi="ar-SA"/>
    </w:rPr>
  </w:style>
  <w:style w:type="paragraph" w:customStyle="1" w:styleId="86">
    <w:name w:val="题注5"/>
    <w:basedOn w:val="1"/>
    <w:next w:val="16"/>
    <w:qFormat/>
    <w:uiPriority w:val="0"/>
    <w:pPr>
      <w:jc w:val="center"/>
    </w:pPr>
    <w:rPr>
      <w:rFonts w:ascii="Times New Roman" w:hAnsi="Times New Roman"/>
      <w:b/>
      <w:color w:val="000000"/>
      <w:sz w:val="24"/>
      <w:szCs w:val="21"/>
    </w:rPr>
  </w:style>
  <w:style w:type="paragraph" w:customStyle="1" w:styleId="87">
    <w:name w:val="默认段落字体 Para Char Char Char Char Char Char Char Char Char1 Char Char Char Char"/>
    <w:basedOn w:val="1"/>
    <w:qFormat/>
    <w:uiPriority w:val="0"/>
    <w:rPr>
      <w:rFonts w:ascii="Tahoma" w:hAnsi="Tahoma"/>
      <w:sz w:val="24"/>
      <w:szCs w:val="20"/>
    </w:rPr>
  </w:style>
  <w:style w:type="paragraph" w:customStyle="1" w:styleId="8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9">
    <w:name w:val="四级标题"/>
    <w:basedOn w:val="1"/>
    <w:link w:val="121"/>
    <w:qFormat/>
    <w:uiPriority w:val="0"/>
    <w:pPr>
      <w:spacing w:line="360" w:lineRule="auto"/>
      <w:ind w:left="1004" w:hanging="720"/>
      <w:outlineLvl w:val="3"/>
    </w:pPr>
    <w:rPr>
      <w:rFonts w:eastAsia="黑体"/>
      <w:b/>
      <w:kern w:val="0"/>
      <w:sz w:val="28"/>
      <w:szCs w:val="20"/>
    </w:rPr>
  </w:style>
  <w:style w:type="paragraph" w:customStyle="1" w:styleId="90">
    <w:name w:val="Copyright"/>
    <w:basedOn w:val="1"/>
    <w:qFormat/>
    <w:uiPriority w:val="0"/>
    <w:pPr>
      <w:widowControl/>
      <w:spacing w:before="480" w:after="60"/>
      <w:jc w:val="center"/>
    </w:pPr>
    <w:rPr>
      <w:rFonts w:ascii="Trebuchet MS" w:hAnsi="Trebuchet MS" w:cs="Trebuchet MS"/>
      <w:b/>
      <w:color w:val="042D56"/>
      <w:kern w:val="0"/>
      <w:sz w:val="20"/>
      <w:szCs w:val="24"/>
      <w:lang w:val="en-AU" w:eastAsia="en-AU"/>
    </w:rPr>
  </w:style>
  <w:style w:type="paragraph" w:customStyle="1" w:styleId="91">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92">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9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94">
    <w:name w:val="List Paragraph1"/>
    <w:basedOn w:val="1"/>
    <w:qFormat/>
    <w:uiPriority w:val="0"/>
    <w:pPr>
      <w:widowControl/>
      <w:spacing w:after="200" w:line="276" w:lineRule="auto"/>
      <w:ind w:left="720"/>
      <w:jc w:val="left"/>
    </w:pPr>
    <w:rPr>
      <w:kern w:val="0"/>
      <w:sz w:val="22"/>
    </w:rPr>
  </w:style>
  <w:style w:type="paragraph" w:customStyle="1" w:styleId="95">
    <w:name w:val="标题-3"/>
    <w:basedOn w:val="1"/>
    <w:link w:val="174"/>
    <w:qFormat/>
    <w:uiPriority w:val="0"/>
    <w:pPr>
      <w:spacing w:beforeLines="50" w:afterLines="50"/>
      <w:outlineLvl w:val="2"/>
    </w:pPr>
    <w:rPr>
      <w:rFonts w:ascii="宋体" w:hAnsi="宋体"/>
      <w:b/>
      <w:kern w:val="0"/>
      <w:sz w:val="24"/>
      <w:szCs w:val="24"/>
    </w:rPr>
  </w:style>
  <w:style w:type="paragraph" w:customStyle="1" w:styleId="96">
    <w:name w:val="列出段落1"/>
    <w:basedOn w:val="1"/>
    <w:link w:val="115"/>
    <w:qFormat/>
    <w:uiPriority w:val="0"/>
    <w:pPr>
      <w:ind w:firstLine="420" w:firstLineChars="200"/>
    </w:pPr>
    <w:rPr>
      <w:rFonts w:ascii="Times New Roman" w:hAnsi="Times New Roman"/>
      <w:kern w:val="0"/>
      <w:sz w:val="20"/>
      <w:szCs w:val="24"/>
    </w:rPr>
  </w:style>
  <w:style w:type="paragraph" w:customStyle="1" w:styleId="97">
    <w:name w:val="Zchn Zchn"/>
    <w:basedOn w:val="1"/>
    <w:qFormat/>
    <w:uiPriority w:val="0"/>
    <w:rPr>
      <w:rFonts w:ascii="Tahoma" w:hAnsi="Tahoma"/>
      <w:sz w:val="24"/>
      <w:szCs w:val="20"/>
    </w:rPr>
  </w:style>
  <w:style w:type="paragraph" w:customStyle="1" w:styleId="9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9">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00">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101">
    <w:name w:val="办公自动化专用标题"/>
    <w:basedOn w:val="47"/>
    <w:qFormat/>
    <w:uiPriority w:val="0"/>
    <w:pPr>
      <w:spacing w:line="560" w:lineRule="atLeast"/>
    </w:pPr>
    <w:rPr>
      <w:rFonts w:ascii="宋体" w:hAnsi="Arial"/>
      <w:bCs w:val="0"/>
      <w:sz w:val="44"/>
      <w:szCs w:val="20"/>
    </w:rPr>
  </w:style>
  <w:style w:type="paragraph" w:customStyle="1" w:styleId="102">
    <w:name w:val="Char Char2 Char Char Char Char Char"/>
    <w:basedOn w:val="1"/>
    <w:qFormat/>
    <w:uiPriority w:val="0"/>
    <w:pPr>
      <w:tabs>
        <w:tab w:val="left" w:pos="780"/>
      </w:tabs>
      <w:ind w:left="780" w:hanging="360"/>
    </w:pPr>
    <w:rPr>
      <w:rFonts w:ascii="Times New Roman" w:hAnsi="Times New Roman"/>
      <w:sz w:val="24"/>
      <w:szCs w:val="24"/>
    </w:rPr>
  </w:style>
  <w:style w:type="paragraph" w:customStyle="1" w:styleId="10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0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05">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6">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07">
    <w:name w:val="_Style 1"/>
    <w:basedOn w:val="1"/>
    <w:qFormat/>
    <w:uiPriority w:val="0"/>
    <w:pPr>
      <w:ind w:firstLine="420" w:firstLineChars="200"/>
    </w:pPr>
  </w:style>
  <w:style w:type="paragraph" w:customStyle="1" w:styleId="108">
    <w:name w:val="符号列表"/>
    <w:basedOn w:val="1"/>
    <w:next w:val="96"/>
    <w:qFormat/>
    <w:uiPriority w:val="34"/>
    <w:pPr>
      <w:ind w:firstLine="420" w:firstLineChars="200"/>
    </w:pPr>
    <w:rPr>
      <w:rFonts w:ascii="Times New Roman" w:hAnsi="Times New Roman"/>
      <w:kern w:val="0"/>
      <w:sz w:val="20"/>
      <w:szCs w:val="24"/>
    </w:rPr>
  </w:style>
  <w:style w:type="character" w:customStyle="1" w:styleId="109">
    <w:name w:val="标题 9 Char"/>
    <w:link w:val="12"/>
    <w:qFormat/>
    <w:uiPriority w:val="0"/>
    <w:rPr>
      <w:rFonts w:ascii="Arial" w:hAnsi="Arial" w:eastAsia="黑体" w:cs="Times New Roman"/>
      <w:szCs w:val="24"/>
    </w:rPr>
  </w:style>
  <w:style w:type="character" w:customStyle="1" w:styleId="110">
    <w:name w:val="正文文本 2 Char"/>
    <w:qFormat/>
    <w:uiPriority w:val="0"/>
    <w:rPr>
      <w:rFonts w:eastAsia="宋体"/>
      <w:szCs w:val="24"/>
    </w:rPr>
  </w:style>
  <w:style w:type="character" w:customStyle="1" w:styleId="111">
    <w:name w:val="日期 Char1"/>
    <w:basedOn w:val="53"/>
    <w:semiHidden/>
    <w:qFormat/>
    <w:uiPriority w:val="99"/>
  </w:style>
  <w:style w:type="character" w:customStyle="1" w:styleId="112">
    <w:name w:val="段 Char"/>
    <w:link w:val="67"/>
    <w:qFormat/>
    <w:locked/>
    <w:uiPriority w:val="99"/>
    <w:rPr>
      <w:rFonts w:ascii="宋体" w:hAnsi="Times New Roman" w:eastAsia="Times New Roman" w:cs="宋体"/>
      <w:sz w:val="21"/>
      <w:szCs w:val="21"/>
      <w:lang w:val="en-US" w:eastAsia="zh-CN" w:bidi="ar-SA"/>
    </w:rPr>
  </w:style>
  <w:style w:type="character" w:customStyle="1" w:styleId="113">
    <w:name w:val="纯文本 字符"/>
    <w:qFormat/>
    <w:uiPriority w:val="0"/>
    <w:rPr>
      <w:rFonts w:ascii="宋体" w:hAnsi="Courier New" w:eastAsia="宋体" w:cs="Courier New"/>
      <w:szCs w:val="21"/>
    </w:rPr>
  </w:style>
  <w:style w:type="character" w:customStyle="1" w:styleId="114">
    <w:name w:val="正文文本 3 Char"/>
    <w:link w:val="20"/>
    <w:qFormat/>
    <w:uiPriority w:val="0"/>
    <w:rPr>
      <w:rFonts w:eastAsia="宋体"/>
      <w:b/>
      <w:bCs/>
      <w:sz w:val="24"/>
      <w:szCs w:val="24"/>
    </w:rPr>
  </w:style>
  <w:style w:type="character" w:customStyle="1" w:styleId="115">
    <w:name w:val="列出段落 Char"/>
    <w:link w:val="96"/>
    <w:qFormat/>
    <w:locked/>
    <w:uiPriority w:val="0"/>
    <w:rPr>
      <w:rFonts w:ascii="Times New Roman" w:hAnsi="Times New Roman"/>
      <w:szCs w:val="24"/>
    </w:rPr>
  </w:style>
  <w:style w:type="character" w:customStyle="1" w:styleId="116">
    <w:name w:val="正文文本首行缩进 字符"/>
    <w:link w:val="65"/>
    <w:qFormat/>
    <w:uiPriority w:val="0"/>
    <w:rPr>
      <w:rFonts w:ascii="宋体" w:hAnsi="Courier New" w:eastAsia="宋体" w:cs="Courier New"/>
      <w:szCs w:val="21"/>
    </w:rPr>
  </w:style>
  <w:style w:type="character" w:customStyle="1" w:styleId="117">
    <w:name w:val="HTML 预设格式 Char"/>
    <w:link w:val="45"/>
    <w:qFormat/>
    <w:uiPriority w:val="0"/>
    <w:rPr>
      <w:rFonts w:ascii="宋体" w:hAnsi="宋体" w:eastAsia="宋体" w:cs="宋体"/>
      <w:kern w:val="0"/>
      <w:sz w:val="24"/>
      <w:szCs w:val="24"/>
    </w:rPr>
  </w:style>
  <w:style w:type="character" w:customStyle="1" w:styleId="118">
    <w:name w:val="批注文字 字符"/>
    <w:qFormat/>
    <w:uiPriority w:val="0"/>
    <w:rPr>
      <w:rFonts w:ascii="Times New Roman" w:hAnsi="Times New Roman"/>
      <w:kern w:val="2"/>
      <w:sz w:val="21"/>
      <w:szCs w:val="24"/>
    </w:rPr>
  </w:style>
  <w:style w:type="character" w:customStyle="1" w:styleId="119">
    <w:name w:val="无间隔 Char"/>
    <w:link w:val="84"/>
    <w:qFormat/>
    <w:uiPriority w:val="1"/>
    <w:rPr>
      <w:kern w:val="2"/>
      <w:sz w:val="21"/>
      <w:szCs w:val="22"/>
      <w:lang w:val="en-US" w:eastAsia="zh-CN" w:bidi="ar-SA"/>
    </w:rPr>
  </w:style>
  <w:style w:type="character" w:customStyle="1" w:styleId="120">
    <w:name w:val="批注主题 Char"/>
    <w:link w:val="48"/>
    <w:qFormat/>
    <w:uiPriority w:val="99"/>
    <w:rPr>
      <w:rFonts w:ascii="Times New Roman" w:hAnsi="Times New Roman"/>
      <w:b/>
      <w:bCs/>
      <w:szCs w:val="24"/>
    </w:rPr>
  </w:style>
  <w:style w:type="character" w:customStyle="1" w:styleId="121">
    <w:name w:val="四级标题 Char"/>
    <w:link w:val="89"/>
    <w:qFormat/>
    <w:uiPriority w:val="0"/>
    <w:rPr>
      <w:rFonts w:eastAsia="黑体"/>
      <w:b/>
      <w:sz w:val="28"/>
    </w:rPr>
  </w:style>
  <w:style w:type="character" w:customStyle="1" w:styleId="122">
    <w:name w:val="批注文字 Char2"/>
    <w:basedOn w:val="53"/>
    <w:semiHidden/>
    <w:qFormat/>
    <w:uiPriority w:val="99"/>
  </w:style>
  <w:style w:type="character" w:customStyle="1" w:styleId="123">
    <w:name w:val="NormalCharacter"/>
    <w:semiHidden/>
    <w:qFormat/>
    <w:uiPriority w:val="0"/>
    <w:rPr>
      <w:rFonts w:ascii="Calibri" w:hAnsi="Calibri" w:eastAsia="宋体" w:cs="Times New Roman"/>
      <w:kern w:val="2"/>
      <w:sz w:val="21"/>
      <w:szCs w:val="22"/>
      <w:lang w:val="en-US" w:eastAsia="zh-CN" w:bidi="ar-SA"/>
    </w:rPr>
  </w:style>
  <w:style w:type="character" w:customStyle="1" w:styleId="124">
    <w:name w:val="正文文本缩进 2 Char1"/>
    <w:basedOn w:val="53"/>
    <w:semiHidden/>
    <w:qFormat/>
    <w:uiPriority w:val="99"/>
  </w:style>
  <w:style w:type="character" w:customStyle="1" w:styleId="125">
    <w:name w:val="正文首行缩进 Char"/>
    <w:qFormat/>
    <w:uiPriority w:val="0"/>
    <w:rPr>
      <w:rFonts w:ascii="宋体" w:hAnsi="Courier New" w:eastAsia="宋体" w:cs="Courier New"/>
      <w:szCs w:val="21"/>
    </w:rPr>
  </w:style>
  <w:style w:type="character" w:customStyle="1" w:styleId="126">
    <w:name w:val="页眉 Char"/>
    <w:link w:val="33"/>
    <w:qFormat/>
    <w:uiPriority w:val="99"/>
    <w:rPr>
      <w:sz w:val="18"/>
      <w:szCs w:val="18"/>
    </w:rPr>
  </w:style>
  <w:style w:type="character" w:customStyle="1" w:styleId="127">
    <w:name w:val="页脚 Char1"/>
    <w:semiHidden/>
    <w:qFormat/>
    <w:uiPriority w:val="99"/>
    <w:rPr>
      <w:kern w:val="2"/>
      <w:sz w:val="18"/>
      <w:szCs w:val="18"/>
    </w:rPr>
  </w:style>
  <w:style w:type="character" w:customStyle="1" w:styleId="128">
    <w:name w:val="纯文本 Char2"/>
    <w:semiHidden/>
    <w:qFormat/>
    <w:uiPriority w:val="99"/>
    <w:rPr>
      <w:rFonts w:ascii="宋体" w:hAnsi="Courier New" w:cs="Courier New"/>
      <w:kern w:val="2"/>
      <w:sz w:val="21"/>
      <w:szCs w:val="21"/>
    </w:rPr>
  </w:style>
  <w:style w:type="character" w:customStyle="1" w:styleId="129">
    <w:name w:val="无缩进 Char"/>
    <w:qFormat/>
    <w:uiPriority w:val="0"/>
    <w:rPr>
      <w:rFonts w:ascii="Times New Roman" w:hAnsi="Times New Roman" w:eastAsia="宋体" w:cs="Times New Roman"/>
      <w:kern w:val="2"/>
      <w:sz w:val="21"/>
      <w:szCs w:val="20"/>
    </w:rPr>
  </w:style>
  <w:style w:type="character" w:customStyle="1" w:styleId="130">
    <w:name w:val="Char Char13"/>
    <w:qFormat/>
    <w:uiPriority w:val="0"/>
    <w:rPr>
      <w:rFonts w:ascii="Times New Roman" w:hAnsi="Times New Roman" w:eastAsia="宋体" w:cs="Times New Roman"/>
      <w:kern w:val="2"/>
      <w:sz w:val="18"/>
      <w:szCs w:val="18"/>
    </w:rPr>
  </w:style>
  <w:style w:type="character" w:customStyle="1" w:styleId="131">
    <w:name w:val="Char Char9"/>
    <w:qFormat/>
    <w:uiPriority w:val="0"/>
    <w:rPr>
      <w:rFonts w:ascii="Calibri" w:hAnsi="Calibri" w:eastAsia="宋体" w:cs="Times New Roman"/>
      <w:kern w:val="2"/>
      <w:sz w:val="18"/>
      <w:szCs w:val="18"/>
      <w:lang w:val="en-US" w:eastAsia="zh-CN" w:bidi="ar-SA"/>
    </w:rPr>
  </w:style>
  <w:style w:type="character" w:customStyle="1" w:styleId="132">
    <w:name w:val="正文文本缩进 3 Char1"/>
    <w:semiHidden/>
    <w:qFormat/>
    <w:uiPriority w:val="99"/>
    <w:rPr>
      <w:sz w:val="16"/>
      <w:szCs w:val="16"/>
    </w:rPr>
  </w:style>
  <w:style w:type="character" w:customStyle="1" w:styleId="133">
    <w:name w:val="标题 2 Char1"/>
    <w:link w:val="4"/>
    <w:qFormat/>
    <w:uiPriority w:val="9"/>
    <w:rPr>
      <w:rFonts w:ascii="Cambria" w:hAnsi="Cambria" w:eastAsia="宋体" w:cs="Times New Roman"/>
      <w:b/>
      <w:bCs/>
      <w:sz w:val="32"/>
      <w:szCs w:val="32"/>
    </w:rPr>
  </w:style>
  <w:style w:type="character" w:customStyle="1" w:styleId="134">
    <w:name w:val="正文文本缩进 2 Char"/>
    <w:link w:val="30"/>
    <w:qFormat/>
    <w:uiPriority w:val="0"/>
    <w:rPr>
      <w:rFonts w:eastAsia="宋体"/>
      <w:sz w:val="32"/>
    </w:rPr>
  </w:style>
  <w:style w:type="character" w:customStyle="1" w:styleId="135">
    <w:name w:val="标题 3 Char"/>
    <w:link w:val="5"/>
    <w:qFormat/>
    <w:uiPriority w:val="0"/>
    <w:rPr>
      <w:rFonts w:ascii="Calibri" w:hAnsi="Calibri" w:eastAsia="宋体" w:cs="Times New Roman"/>
      <w:b/>
      <w:bCs/>
      <w:sz w:val="32"/>
      <w:szCs w:val="32"/>
    </w:rPr>
  </w:style>
  <w:style w:type="character" w:customStyle="1" w:styleId="136">
    <w:name w:val="2nd level Char"/>
    <w:qFormat/>
    <w:uiPriority w:val="0"/>
    <w:rPr>
      <w:rFonts w:ascii="Arial" w:hAnsi="Arial" w:eastAsia="黑体" w:cs="Times New Roman"/>
      <w:b/>
      <w:bCs/>
      <w:kern w:val="2"/>
      <w:sz w:val="32"/>
      <w:szCs w:val="32"/>
    </w:rPr>
  </w:style>
  <w:style w:type="character" w:customStyle="1" w:styleId="137">
    <w:name w:val="short_text"/>
    <w:qFormat/>
    <w:uiPriority w:val="0"/>
    <w:rPr>
      <w:rFonts w:eastAsia="宋体"/>
      <w:kern w:val="2"/>
      <w:sz w:val="24"/>
      <w:szCs w:val="24"/>
      <w:lang w:val="en-US" w:eastAsia="zh-CN" w:bidi="ar-SA"/>
    </w:rPr>
  </w:style>
  <w:style w:type="character" w:customStyle="1" w:styleId="138">
    <w:name w:val="纯文本 字符1"/>
    <w:qFormat/>
    <w:uiPriority w:val="0"/>
    <w:rPr>
      <w:rFonts w:ascii="宋体" w:hAnsi="Courier New"/>
    </w:rPr>
  </w:style>
  <w:style w:type="character" w:customStyle="1" w:styleId="139">
    <w:name w:val="页脚 Char"/>
    <w:link w:val="2"/>
    <w:qFormat/>
    <w:uiPriority w:val="99"/>
    <w:rPr>
      <w:sz w:val="18"/>
      <w:szCs w:val="18"/>
    </w:rPr>
  </w:style>
  <w:style w:type="character" w:customStyle="1" w:styleId="140">
    <w:name w:val="标题 Char"/>
    <w:link w:val="47"/>
    <w:qFormat/>
    <w:uiPriority w:val="0"/>
    <w:rPr>
      <w:rFonts w:ascii="Cambria" w:hAnsi="Cambria" w:eastAsia="宋体" w:cs="Times New Roman"/>
      <w:b/>
      <w:bCs/>
      <w:sz w:val="32"/>
      <w:szCs w:val="32"/>
    </w:rPr>
  </w:style>
  <w:style w:type="character" w:customStyle="1" w:styleId="141">
    <w:name w:val="正文文本 Char"/>
    <w:qFormat/>
    <w:uiPriority w:val="0"/>
    <w:rPr>
      <w:rFonts w:ascii="Times New Roman" w:hAnsi="Times New Roman"/>
      <w:szCs w:val="24"/>
    </w:rPr>
  </w:style>
  <w:style w:type="character" w:customStyle="1" w:styleId="142">
    <w:name w:val="Char Char171"/>
    <w:qFormat/>
    <w:uiPriority w:val="0"/>
    <w:rPr>
      <w:rFonts w:ascii="Cambria" w:hAnsi="Cambria" w:eastAsia="宋体" w:cs="Times New Roman"/>
      <w:b/>
      <w:bCs/>
      <w:sz w:val="24"/>
      <w:szCs w:val="24"/>
    </w:rPr>
  </w:style>
  <w:style w:type="character" w:customStyle="1" w:styleId="143">
    <w:name w:val="五级标题 Char"/>
    <w:link w:val="80"/>
    <w:qFormat/>
    <w:uiPriority w:val="0"/>
    <w:rPr>
      <w:rFonts w:eastAsia="黑体"/>
      <w:b/>
      <w:sz w:val="28"/>
    </w:rPr>
  </w:style>
  <w:style w:type="character" w:customStyle="1" w:styleId="144">
    <w:name w:val="标题 5 Char"/>
    <w:link w:val="7"/>
    <w:qFormat/>
    <w:uiPriority w:val="9"/>
    <w:rPr>
      <w:rFonts w:ascii="Calibri" w:hAnsi="Calibri" w:eastAsia="宋体" w:cs="Times New Roman"/>
      <w:b/>
      <w:sz w:val="28"/>
      <w:szCs w:val="24"/>
    </w:rPr>
  </w:style>
  <w:style w:type="character" w:customStyle="1" w:styleId="145">
    <w:name w:val="ca-12"/>
    <w:qFormat/>
    <w:uiPriority w:val="0"/>
    <w:rPr>
      <w:rFonts w:eastAsia="宋体" w:cs="Times New Roman"/>
      <w:kern w:val="2"/>
      <w:sz w:val="24"/>
      <w:szCs w:val="24"/>
      <w:lang w:val="en-US" w:eastAsia="zh-CN" w:bidi="ar-SA"/>
    </w:rPr>
  </w:style>
  <w:style w:type="character" w:customStyle="1" w:styleId="146">
    <w:name w:val="正文文本 Char1"/>
    <w:basedOn w:val="53"/>
    <w:link w:val="21"/>
    <w:qFormat/>
    <w:uiPriority w:val="0"/>
  </w:style>
  <w:style w:type="character" w:customStyle="1" w:styleId="147">
    <w:name w:val="标题 8 Char1"/>
    <w:qFormat/>
    <w:uiPriority w:val="9"/>
    <w:rPr>
      <w:rFonts w:ascii="等线 Light" w:hAnsi="等线 Light" w:eastAsia="等线 Light"/>
      <w:kern w:val="2"/>
      <w:sz w:val="24"/>
      <w:szCs w:val="24"/>
    </w:rPr>
  </w:style>
  <w:style w:type="character" w:customStyle="1" w:styleId="148">
    <w:name w:val="Char Char12"/>
    <w:qFormat/>
    <w:uiPriority w:val="0"/>
    <w:rPr>
      <w:rFonts w:ascii="Times New Roman" w:hAnsi="Times New Roman" w:eastAsia="宋体" w:cs="Times New Roman"/>
      <w:kern w:val="2"/>
      <w:sz w:val="18"/>
      <w:szCs w:val="18"/>
    </w:rPr>
  </w:style>
  <w:style w:type="character" w:customStyle="1" w:styleId="149">
    <w:name w:val="普通文字 Char Char2"/>
    <w:qFormat/>
    <w:uiPriority w:val="0"/>
    <w:rPr>
      <w:rFonts w:ascii="宋体" w:hAnsi="Courier New" w:eastAsia="宋体"/>
      <w:kern w:val="2"/>
      <w:sz w:val="21"/>
      <w:lang w:val="en-US" w:eastAsia="zh-CN" w:bidi="ar-SA"/>
    </w:rPr>
  </w:style>
  <w:style w:type="character" w:customStyle="1" w:styleId="150">
    <w:name w:val="批注主题 Char1"/>
    <w:semiHidden/>
    <w:qFormat/>
    <w:uiPriority w:val="99"/>
    <w:rPr>
      <w:b/>
      <w:bCs/>
      <w:kern w:val="2"/>
      <w:sz w:val="21"/>
      <w:szCs w:val="24"/>
    </w:rPr>
  </w:style>
  <w:style w:type="character" w:customStyle="1" w:styleId="151">
    <w:name w:val="标题 7 Char"/>
    <w:link w:val="10"/>
    <w:qFormat/>
    <w:uiPriority w:val="0"/>
    <w:rPr>
      <w:rFonts w:ascii="Calibri" w:hAnsi="Calibri" w:eastAsia="宋体" w:cs="Times New Roman"/>
      <w:b/>
      <w:sz w:val="24"/>
      <w:szCs w:val="24"/>
    </w:rPr>
  </w:style>
  <w:style w:type="character" w:customStyle="1" w:styleId="152">
    <w:name w:val="文档结构图 Char"/>
    <w:link w:val="17"/>
    <w:semiHidden/>
    <w:qFormat/>
    <w:uiPriority w:val="0"/>
    <w:rPr>
      <w:rFonts w:ascii="Times New Roman" w:hAnsi="Times New Roman" w:eastAsia="宋体" w:cs="Times New Roman"/>
      <w:szCs w:val="24"/>
      <w:shd w:val="clear" w:color="auto" w:fill="000080"/>
    </w:rPr>
  </w:style>
  <w:style w:type="character" w:customStyle="1" w:styleId="153">
    <w:name w:val="Char Char17"/>
    <w:qFormat/>
    <w:uiPriority w:val="0"/>
    <w:rPr>
      <w:rFonts w:ascii="Calibri" w:hAnsi="Calibri" w:eastAsia="宋体" w:cs="Times New Roman"/>
      <w:b/>
      <w:bCs/>
      <w:kern w:val="2"/>
      <w:sz w:val="32"/>
      <w:szCs w:val="32"/>
      <w:lang w:val="en-US" w:eastAsia="zh-CN" w:bidi="ar-SA"/>
    </w:rPr>
  </w:style>
  <w:style w:type="character" w:customStyle="1" w:styleId="154">
    <w:name w:val="正文文本 2 Char1"/>
    <w:basedOn w:val="53"/>
    <w:link w:val="44"/>
    <w:semiHidden/>
    <w:qFormat/>
    <w:uiPriority w:val="99"/>
  </w:style>
  <w:style w:type="character" w:customStyle="1" w:styleId="155">
    <w:name w:val="Char Char15"/>
    <w:qFormat/>
    <w:uiPriority w:val="0"/>
    <w:rPr>
      <w:rFonts w:ascii="Cambria" w:hAnsi="Cambria" w:eastAsia="宋体" w:cs="Times New Roman"/>
      <w:sz w:val="24"/>
      <w:szCs w:val="24"/>
    </w:rPr>
  </w:style>
  <w:style w:type="character" w:customStyle="1" w:styleId="156">
    <w:name w:val="标题 4 Char"/>
    <w:link w:val="6"/>
    <w:qFormat/>
    <w:uiPriority w:val="0"/>
    <w:rPr>
      <w:rFonts w:ascii="Arial" w:hAnsi="Arial" w:eastAsia="黑体" w:cs="Times New Roman"/>
      <w:b/>
      <w:bCs/>
      <w:sz w:val="28"/>
      <w:szCs w:val="28"/>
    </w:rPr>
  </w:style>
  <w:style w:type="character" w:customStyle="1" w:styleId="157">
    <w:name w:val="正文文本缩进 Char1"/>
    <w:basedOn w:val="53"/>
    <w:semiHidden/>
    <w:qFormat/>
    <w:uiPriority w:val="99"/>
  </w:style>
  <w:style w:type="character" w:customStyle="1" w:styleId="158">
    <w:name w:val="Char Char11"/>
    <w:qFormat/>
    <w:uiPriority w:val="0"/>
    <w:rPr>
      <w:rFonts w:ascii="Times New Roman" w:hAnsi="Times New Roman" w:eastAsia="宋体" w:cs="Times New Roman"/>
      <w:kern w:val="2"/>
      <w:sz w:val="21"/>
      <w:szCs w:val="20"/>
    </w:rPr>
  </w:style>
  <w:style w:type="character" w:customStyle="1" w:styleId="159">
    <w:name w:val="fontorange1"/>
    <w:qFormat/>
    <w:uiPriority w:val="0"/>
    <w:rPr>
      <w:rFonts w:hint="default" w:ascii="ˎ̥" w:hAnsi="ˎ̥" w:eastAsia="宋体"/>
      <w:color w:val="FF6600"/>
      <w:kern w:val="2"/>
      <w:sz w:val="18"/>
      <w:szCs w:val="18"/>
      <w:lang w:val="en-US" w:eastAsia="zh-CN" w:bidi="ar-SA"/>
    </w:rPr>
  </w:style>
  <w:style w:type="character" w:customStyle="1" w:styleId="160">
    <w:name w:val="Char Char18"/>
    <w:qFormat/>
    <w:uiPriority w:val="0"/>
    <w:rPr>
      <w:rFonts w:ascii="Calibri" w:hAnsi="Calibri" w:eastAsia="宋体" w:cs="Times New Roman"/>
      <w:b/>
      <w:bCs/>
      <w:sz w:val="28"/>
      <w:szCs w:val="28"/>
    </w:rPr>
  </w:style>
  <w:style w:type="character" w:customStyle="1" w:styleId="161">
    <w:name w:val="纯文本 Char"/>
    <w:link w:val="27"/>
    <w:qFormat/>
    <w:uiPriority w:val="0"/>
    <w:rPr>
      <w:rFonts w:ascii="宋体" w:hAnsi="Courier New" w:eastAsia="宋体" w:cs="Courier New"/>
      <w:szCs w:val="21"/>
    </w:rPr>
  </w:style>
  <w:style w:type="character" w:customStyle="1" w:styleId="162">
    <w:name w:val="标题 2 Char"/>
    <w:qFormat/>
    <w:uiPriority w:val="9"/>
    <w:rPr>
      <w:rFonts w:ascii="Cambria" w:hAnsi="Cambria" w:eastAsia="宋体" w:cs="Times New Roman"/>
      <w:b/>
      <w:bCs/>
      <w:sz w:val="32"/>
      <w:szCs w:val="32"/>
    </w:rPr>
  </w:style>
  <w:style w:type="character" w:customStyle="1" w:styleId="163">
    <w:name w:val="批注框文本 Char"/>
    <w:link w:val="32"/>
    <w:semiHidden/>
    <w:qFormat/>
    <w:uiPriority w:val="0"/>
    <w:rPr>
      <w:rFonts w:ascii="Times New Roman" w:hAnsi="Times New Roman" w:eastAsia="宋体" w:cs="Times New Roman"/>
      <w:sz w:val="18"/>
      <w:szCs w:val="18"/>
    </w:rPr>
  </w:style>
  <w:style w:type="character" w:customStyle="1" w:styleId="164">
    <w:name w:val="正文首行缩进 Char1"/>
    <w:basedOn w:val="146"/>
    <w:link w:val="49"/>
    <w:semiHidden/>
    <w:qFormat/>
    <w:uiPriority w:val="99"/>
  </w:style>
  <w:style w:type="character" w:customStyle="1" w:styleId="165">
    <w:name w:val="正文首行缩进 2 Char"/>
    <w:qFormat/>
    <w:uiPriority w:val="0"/>
    <w:rPr>
      <w:rFonts w:ascii="Times New Roman" w:hAnsi="Times New Roman" w:eastAsia="仿宋_GB2312" w:cs="Times New Roman"/>
      <w:szCs w:val="24"/>
    </w:rPr>
  </w:style>
  <w:style w:type="character" w:customStyle="1" w:styleId="166">
    <w:name w:val="页眉 Char1"/>
    <w:semiHidden/>
    <w:qFormat/>
    <w:uiPriority w:val="99"/>
    <w:rPr>
      <w:kern w:val="2"/>
      <w:sz w:val="18"/>
      <w:szCs w:val="18"/>
    </w:rPr>
  </w:style>
  <w:style w:type="character" w:customStyle="1" w:styleId="167">
    <w:name w:val="正文首行缩进 2 Char1"/>
    <w:basedOn w:val="157"/>
    <w:link w:val="50"/>
    <w:semiHidden/>
    <w:qFormat/>
    <w:uiPriority w:val="99"/>
  </w:style>
  <w:style w:type="character" w:customStyle="1" w:styleId="168">
    <w:name w:val="textcontents"/>
    <w:basedOn w:val="53"/>
    <w:qFormat/>
    <w:uiPriority w:val="0"/>
  </w:style>
  <w:style w:type="character" w:customStyle="1" w:styleId="169">
    <w:name w:val="正文小标题 Char Char"/>
    <w:qFormat/>
    <w:uiPriority w:val="0"/>
    <w:rPr>
      <w:rFonts w:ascii="仿宋_GB2312" w:hAnsi="Times New Roman" w:eastAsia="仿宋_GB2312" w:cs="Times New Roman"/>
      <w:kern w:val="2"/>
      <w:sz w:val="32"/>
      <w:szCs w:val="20"/>
    </w:rPr>
  </w:style>
  <w:style w:type="character" w:customStyle="1" w:styleId="170">
    <w:name w:val="apple-converted-space"/>
    <w:basedOn w:val="53"/>
    <w:qFormat/>
    <w:uiPriority w:val="0"/>
  </w:style>
  <w:style w:type="character" w:customStyle="1" w:styleId="171">
    <w:name w:val="正文文本 3 Char1"/>
    <w:semiHidden/>
    <w:qFormat/>
    <w:uiPriority w:val="99"/>
    <w:rPr>
      <w:sz w:val="16"/>
      <w:szCs w:val="16"/>
    </w:rPr>
  </w:style>
  <w:style w:type="character" w:customStyle="1" w:styleId="17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73">
    <w:name w:val="正文文本 Char2"/>
    <w:semiHidden/>
    <w:qFormat/>
    <w:uiPriority w:val="99"/>
    <w:rPr>
      <w:kern w:val="2"/>
      <w:sz w:val="21"/>
      <w:szCs w:val="24"/>
    </w:rPr>
  </w:style>
  <w:style w:type="character" w:customStyle="1" w:styleId="174">
    <w:name w:val="标题-3 Char"/>
    <w:link w:val="95"/>
    <w:qFormat/>
    <w:uiPriority w:val="0"/>
    <w:rPr>
      <w:rFonts w:ascii="宋体" w:hAnsi="宋体" w:eastAsia="宋体"/>
      <w:b/>
      <w:sz w:val="24"/>
      <w:szCs w:val="24"/>
    </w:rPr>
  </w:style>
  <w:style w:type="character" w:customStyle="1" w:styleId="175">
    <w:name w:val="正文文本缩进 3 Char"/>
    <w:link w:val="41"/>
    <w:qFormat/>
    <w:uiPriority w:val="0"/>
    <w:rPr>
      <w:rFonts w:eastAsia="宋体"/>
      <w:sz w:val="16"/>
      <w:szCs w:val="16"/>
    </w:rPr>
  </w:style>
  <w:style w:type="character" w:customStyle="1" w:styleId="176">
    <w:name w:val="纯文本 Char1"/>
    <w:qFormat/>
    <w:uiPriority w:val="0"/>
    <w:rPr>
      <w:rFonts w:ascii="宋体" w:hAnsi="Courier New" w:eastAsia="宋体" w:cs="Courier New"/>
      <w:szCs w:val="21"/>
    </w:rPr>
  </w:style>
  <w:style w:type="character" w:customStyle="1" w:styleId="177">
    <w:name w:val="日期 Char"/>
    <w:link w:val="29"/>
    <w:qFormat/>
    <w:uiPriority w:val="99"/>
    <w:rPr>
      <w:rFonts w:ascii="Times New Roman" w:hAnsi="Times New Roman"/>
      <w:szCs w:val="24"/>
    </w:rPr>
  </w:style>
  <w:style w:type="character" w:customStyle="1" w:styleId="178">
    <w:name w:val="Char Char14"/>
    <w:qFormat/>
    <w:uiPriority w:val="0"/>
    <w:rPr>
      <w:rFonts w:ascii="Cambria" w:hAnsi="Cambria" w:eastAsia="宋体" w:cs="Times New Roman"/>
      <w:sz w:val="21"/>
      <w:szCs w:val="21"/>
    </w:rPr>
  </w:style>
  <w:style w:type="character" w:customStyle="1" w:styleId="179">
    <w:name w:val="正文文本缩进 Char"/>
    <w:link w:val="22"/>
    <w:qFormat/>
    <w:uiPriority w:val="0"/>
    <w:rPr>
      <w:rFonts w:ascii="仿宋_GB2312" w:hAnsi="Times New Roman" w:eastAsia="仿宋_GB2312" w:cs="Times New Roman"/>
      <w:sz w:val="32"/>
      <w:szCs w:val="20"/>
    </w:rPr>
  </w:style>
  <w:style w:type="character" w:customStyle="1" w:styleId="180">
    <w:name w:val="apple-style-span"/>
    <w:basedOn w:val="53"/>
    <w:qFormat/>
    <w:uiPriority w:val="0"/>
  </w:style>
  <w:style w:type="character" w:customStyle="1" w:styleId="181">
    <w:name w:val="标题 1 Char"/>
    <w:link w:val="3"/>
    <w:qFormat/>
    <w:uiPriority w:val="0"/>
    <w:rPr>
      <w:rFonts w:ascii="Calibri" w:hAnsi="Calibri" w:eastAsia="宋体" w:cs="Times New Roman"/>
      <w:b/>
      <w:bCs/>
      <w:kern w:val="44"/>
      <w:sz w:val="44"/>
      <w:szCs w:val="44"/>
    </w:rPr>
  </w:style>
  <w:style w:type="character" w:customStyle="1" w:styleId="182">
    <w:name w:val="脚注文本 Char"/>
    <w:link w:val="39"/>
    <w:qFormat/>
    <w:uiPriority w:val="0"/>
    <w:rPr>
      <w:rFonts w:ascii="Times New Roman" w:hAnsi="Times New Roman" w:eastAsia="宋体" w:cs="Times New Roman"/>
      <w:sz w:val="18"/>
      <w:szCs w:val="18"/>
    </w:rPr>
  </w:style>
  <w:style w:type="character" w:customStyle="1" w:styleId="183">
    <w:name w:val="批注文字 Char1"/>
    <w:qFormat/>
    <w:locked/>
    <w:uiPriority w:val="0"/>
    <w:rPr>
      <w:rFonts w:ascii="Times New Roman" w:hAnsi="Times New Roman"/>
      <w:kern w:val="2"/>
      <w:sz w:val="21"/>
      <w:szCs w:val="24"/>
    </w:rPr>
  </w:style>
  <w:style w:type="character" w:customStyle="1" w:styleId="184">
    <w:name w:val="批注文字 Char"/>
    <w:link w:val="19"/>
    <w:qFormat/>
    <w:uiPriority w:val="0"/>
    <w:rPr>
      <w:rFonts w:ascii="Times New Roman" w:hAnsi="Times New Roman"/>
      <w:szCs w:val="24"/>
    </w:rPr>
  </w:style>
  <w:style w:type="character" w:customStyle="1" w:styleId="185">
    <w:name w:val="标题 8 Char"/>
    <w:link w:val="11"/>
    <w:qFormat/>
    <w:uiPriority w:val="0"/>
    <w:rPr>
      <w:rFonts w:ascii="Arial" w:hAnsi="Arial" w:eastAsia="黑体" w:cs="Times New Roman"/>
      <w:sz w:val="24"/>
      <w:szCs w:val="24"/>
    </w:rPr>
  </w:style>
  <w:style w:type="character" w:customStyle="1" w:styleId="186">
    <w:name w:val="Char Char16"/>
    <w:qFormat/>
    <w:uiPriority w:val="0"/>
    <w:rPr>
      <w:rFonts w:ascii="Calibri" w:hAnsi="Calibri" w:eastAsia="宋体" w:cs="Times New Roman"/>
      <w:b/>
      <w:bCs/>
      <w:sz w:val="24"/>
      <w:szCs w:val="24"/>
    </w:rPr>
  </w:style>
  <w:style w:type="character" w:customStyle="1" w:styleId="187">
    <w:name w:val="尾注文本 Char"/>
    <w:link w:val="31"/>
    <w:qFormat/>
    <w:uiPriority w:val="0"/>
    <w:rPr>
      <w:rFonts w:ascii="Times New Roman" w:hAnsi="Times New Roman" w:eastAsia="宋体" w:cs="Times New Roman"/>
      <w:szCs w:val="24"/>
    </w:rPr>
  </w:style>
  <w:style w:type="character" w:customStyle="1" w:styleId="188">
    <w:name w:val="正文缩进 Char"/>
    <w:link w:val="8"/>
    <w:qFormat/>
    <w:uiPriority w:val="0"/>
    <w:rPr>
      <w:rFonts w:eastAsia="宋体"/>
    </w:rPr>
  </w:style>
  <w:style w:type="character" w:customStyle="1" w:styleId="189">
    <w:name w:val="标题 6 Char"/>
    <w:link w:val="9"/>
    <w:qFormat/>
    <w:uiPriority w:val="0"/>
    <w:rPr>
      <w:rFonts w:ascii="Arial" w:hAnsi="Arial" w:eastAsia="黑体" w:cs="Times New Roman"/>
      <w:b/>
      <w:sz w:val="24"/>
      <w:szCs w:val="24"/>
    </w:rPr>
  </w:style>
  <w:style w:type="table" w:customStyle="1" w:styleId="190">
    <w:name w:val="网格型1"/>
    <w:basedOn w:val="5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91">
    <w:name w:val="1"/>
    <w:basedOn w:val="1"/>
    <w:next w:val="27"/>
    <w:qFormat/>
    <w:uiPriority w:val="0"/>
    <w:rPr>
      <w:rFonts w:ascii="宋体" w:hAnsi="Courier New"/>
      <w:szCs w:val="20"/>
    </w:rPr>
  </w:style>
  <w:style w:type="character" w:customStyle="1" w:styleId="192">
    <w:name w:val="font31"/>
    <w:qFormat/>
    <w:uiPriority w:val="0"/>
    <w:rPr>
      <w:rFonts w:hint="eastAsia" w:ascii="宋体" w:hAnsi="宋体" w:eastAsia="宋体" w:cs="宋体"/>
      <w:color w:val="000000"/>
      <w:sz w:val="24"/>
      <w:szCs w:val="24"/>
      <w:u w:val="none"/>
    </w:rPr>
  </w:style>
  <w:style w:type="character" w:customStyle="1" w:styleId="193">
    <w:name w:val="font01"/>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58</Pages>
  <Words>6153</Words>
  <Characters>35078</Characters>
  <Lines>292</Lines>
  <Paragraphs>82</Paragraphs>
  <TotalTime>49</TotalTime>
  <ScaleCrop>false</ScaleCrop>
  <LinksUpToDate>false</LinksUpToDate>
  <CharactersWithSpaces>41149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2021-11-22T17:21:00Z</dcterms:created>
  <dc:creator>hezc</dc:creator>
  <cp:lastModifiedBy>李逵</cp:lastModifiedBy>
  <cp:lastPrinted>2022-05-26T08:33:00Z</cp:lastPrinted>
  <dcterms:modified xsi:type="dcterms:W3CDTF">2022-07-12T08:45:31Z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D7F3EEBF8BE1468891B65AE3C093A61B</vt:lpwstr>
  </property>
</Properties>
</file>